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spacing w:line="517" w:lineRule="auto"/>
      </w:pPr>
      <w:r>
        <w:rPr>
          <w:rFonts w:hint="eastAsia"/>
          <w:b/>
          <w:color w:val="000000"/>
          <w:sz w:val="24"/>
        </w:rPr>
        <w:t>防静电活动地板通用规范</w:t>
      </w:r>
    </w:p>
    <w:p>
      <w:pPr>
        <w:spacing w:line="517" w:lineRule="auto"/>
        <w:jc w:val="center"/>
      </w:pPr>
      <w:r>
        <w:rPr>
          <w:rFonts w:hint="eastAsia"/>
          <w:b/>
          <w:color w:val="000000"/>
          <w:sz w:val="24"/>
        </w:rPr>
        <w:t>中华人民共和国国家标准</w:t>
      </w:r>
    </w:p>
    <w:p>
      <w:pPr>
        <w:spacing w:line="517" w:lineRule="auto"/>
        <w:jc w:val="center"/>
      </w:pPr>
      <w:r>
        <w:rPr>
          <w:rFonts w:hint="eastAsia"/>
          <w:b/>
          <w:color w:val="000000"/>
          <w:sz w:val="24"/>
        </w:rPr>
        <w:t>防静电活动地板通用规范(SJ/T10796-2001) </w:t>
      </w:r>
    </w:p>
    <w:p>
      <w:pPr>
        <w:spacing w:line="620" w:lineRule="auto"/>
      </w:pPr>
      <w:r>
        <w:rPr>
          <w:rFonts w:hint="eastAsia"/>
          <w:color w:val="000000"/>
          <w:sz w:val="24"/>
        </w:rPr>
        <w:t>本标准适用于计算机机房及其他电子设备房间中铺设的活动地板。该活动地板在计算机机房及其他电子设备房间中铺设在房屋建筑地面上作安装设备、设备的走线及空调风库空间等用。 </w:t>
      </w:r>
    </w:p>
    <w:p>
      <w:pPr>
        <w:spacing w:line="517" w:lineRule="auto"/>
      </w:pPr>
      <w:r>
        <w:rPr>
          <w:rFonts w:hint="eastAsia"/>
          <w:color w:val="000000"/>
          <w:sz w:val="24"/>
        </w:rPr>
        <w:t>其他类似房间需用的活动地板亦可参照此标准执行</w:t>
      </w:r>
    </w:p>
    <w:p>
      <w:pPr>
        <w:spacing w:line="413" w:lineRule="auto"/>
      </w:pPr>
      <w:r>
        <w:rPr>
          <w:rFonts w:hint="eastAsia"/>
          <w:color w:val="000000"/>
          <w:sz w:val="24"/>
        </w:rPr>
        <w:t>1  术语 </w:t>
      </w:r>
    </w:p>
    <w:p>
      <w:pPr>
        <w:spacing w:line="413" w:lineRule="auto"/>
      </w:pPr>
      <w:r>
        <w:rPr>
          <w:rFonts w:hint="eastAsia"/>
          <w:color w:val="000000"/>
          <w:sz w:val="24"/>
        </w:rPr>
        <w:t>1.1  活动地板高度 </w:t>
      </w:r>
    </w:p>
    <w:p>
      <w:pPr>
        <w:spacing w:line="413" w:lineRule="auto"/>
      </w:pPr>
      <w:r>
        <w:rPr>
          <w:rFonts w:hint="eastAsia"/>
          <w:color w:val="000000"/>
          <w:sz w:val="24"/>
        </w:rPr>
        <w:t>由活动地板上表面至房间地面之间的距离。 </w:t>
      </w:r>
    </w:p>
    <w:p>
      <w:pPr>
        <w:spacing w:line="413" w:lineRule="auto"/>
      </w:pPr>
      <w:r>
        <w:rPr>
          <w:rFonts w:hint="eastAsia"/>
          <w:color w:val="000000"/>
          <w:sz w:val="24"/>
        </w:rPr>
        <w:t>1.2  四周支承式 </w:t>
      </w:r>
    </w:p>
    <w:p>
      <w:pPr>
        <w:spacing w:line="413" w:lineRule="auto"/>
      </w:pPr>
      <w:r>
        <w:rPr>
          <w:rFonts w:hint="eastAsia"/>
          <w:color w:val="000000"/>
          <w:sz w:val="24"/>
        </w:rPr>
        <w:t>地板支架含有横梁，地板铺在横梁上的安装方式。 </w:t>
      </w:r>
    </w:p>
    <w:p>
      <w:pPr>
        <w:spacing w:line="413" w:lineRule="auto"/>
      </w:pPr>
      <w:r>
        <w:rPr>
          <w:rFonts w:hint="eastAsia"/>
          <w:color w:val="000000"/>
          <w:sz w:val="24"/>
        </w:rPr>
        <w:t>1.3  四角支承式 </w:t>
      </w:r>
    </w:p>
    <w:p>
      <w:pPr>
        <w:spacing w:line="413" w:lineRule="auto"/>
      </w:pPr>
      <w:r>
        <w:rPr>
          <w:rFonts w:hint="eastAsia"/>
          <w:color w:val="000000"/>
          <w:sz w:val="20"/>
        </w:rPr>
        <w:t>地板的四角直接铺在支撑上的安装方式。 </w:t>
      </w:r>
    </w:p>
    <w:p>
      <w:pPr>
        <w:spacing w:line="413" w:lineRule="auto"/>
      </w:pPr>
      <w:r>
        <w:rPr>
          <w:rFonts w:hint="eastAsia"/>
          <w:color w:val="000000"/>
          <w:sz w:val="20"/>
        </w:rPr>
        <w:t>1.4  活动地板系统电阻 </w:t>
      </w:r>
    </w:p>
    <w:p>
      <w:pPr>
        <w:spacing w:line="413" w:lineRule="auto"/>
      </w:pPr>
      <w:r>
        <w:rPr>
          <w:rFonts w:hint="eastAsia"/>
          <w:color w:val="000000"/>
          <w:sz w:val="20"/>
        </w:rPr>
        <w:t>活动地板上表面至地板支撑底座的电阻 </w:t>
      </w:r>
    </w:p>
    <w:p>
      <w:pPr>
        <w:spacing w:line="413" w:lineRule="auto"/>
      </w:pPr>
      <w:r>
        <w:rPr>
          <w:rFonts w:hint="eastAsia"/>
          <w:color w:val="000000"/>
          <w:sz w:val="20"/>
        </w:rPr>
        <w:t>2  结构 </w:t>
      </w:r>
    </w:p>
    <w:p>
      <w:pPr>
        <w:spacing w:line="413" w:lineRule="auto"/>
      </w:pPr>
      <w:r>
        <w:rPr>
          <w:rFonts w:hint="eastAsia"/>
          <w:color w:val="000000"/>
          <w:sz w:val="20"/>
        </w:rPr>
        <w:t>2.1  活动地板按支撑方式分四周支承式和四角支承式。 </w:t>
      </w:r>
    </w:p>
    <w:p>
      <w:pPr>
        <w:spacing w:line="413" w:lineRule="auto"/>
      </w:pPr>
      <w:r>
        <w:rPr>
          <w:rFonts w:hint="eastAsia"/>
          <w:color w:val="000000"/>
          <w:sz w:val="20"/>
        </w:rPr>
        <w:t>2.2  四周支承式活动地板由地板、支撑、横梁、缓冲垫等组成，见图1。 </w:t>
      </w:r>
    </w:p>
    <w:p>
      <w:pPr>
        <w:spacing w:line="413" w:lineRule="auto"/>
      </w:pPr>
      <w:r>
        <w:rPr>
          <w:rFonts w:hint="eastAsia"/>
          <w:color w:val="000000"/>
          <w:sz w:val="20"/>
        </w:rPr>
        <w:t>2.3  四角支承式活动地板由地板、支撑、缓冲垫等组成，见图2 </w:t>
      </w:r>
    </w:p>
    <w:p>
      <w:pPr>
        <w:spacing w:line="413" w:lineRule="auto"/>
      </w:pPr>
      <w:r>
        <w:rPr>
          <w:rFonts w:hint="eastAsia"/>
          <w:color w:val="000000"/>
          <w:sz w:val="20"/>
        </w:rPr>
        <w:t>3  活动地板规格及型号编制方法 </w:t>
      </w:r>
    </w:p>
    <w:p>
      <w:pPr>
        <w:spacing w:line="517" w:lineRule="auto"/>
      </w:pPr>
      <w:r>
        <w:rPr>
          <w:rFonts w:hint="eastAsia"/>
          <w:color w:val="000000"/>
          <w:sz w:val="24"/>
        </w:rPr>
        <w:t>3.1  活动地板高度分两种.见表1。</w:t>
      </w:r>
    </w:p>
    <w:p>
      <w:pPr>
        <w:spacing w:line="517" w:lineRule="auto"/>
        <w:jc w:val="center"/>
      </w:pPr>
      <w:r>
        <w:rPr>
          <w:rFonts w:hint="eastAsia"/>
          <w:color w:val="000000"/>
          <w:sz w:val="24"/>
        </w:rPr>
        <w:t>表1  mm </w:t>
      </w:r>
    </w:p>
    <w:tbl>
      <w:tblPr/>
      <w:tblGrid>
        <w:gridCol w:w="2256"/>
        <w:gridCol w:w="2256"/>
        <w:gridCol w:w="2256"/>
        <w:gridCol w:w="2256"/>
      </w:tblGrid>
      <w:tr>
        <w:trPr/>
        <w:tc>
          <w:tcPr>
            <w:tcBorders>
              <w:top w:val="single" w:sz="6"/>
              <w:left w:val="single" w:sz="6"/>
              <w:bottom w:val="single" w:sz="6"/>
              <w:right w:val="single" w:sz="6"/>
            </w:tcBorders>
          </w:tcPr>
          <w:p>
            <w:pPr/>
            <w:r>
              <w:rPr>
                <w:rFonts w:hint="eastAsia"/>
                <w:b/>
                <w:color w:val="000000"/>
                <w:sz w:val="24"/>
              </w:rPr>
              <w:t>类型</w:t>
            </w:r>
          </w:p>
        </w:tc>
        <w:tc>
          <w:tcPr>
            <w:tcBorders>
              <w:top w:val="single" w:sz="6"/>
              <w:left w:val="single" w:sz="6"/>
              <w:bottom w:val="single" w:sz="6"/>
              <w:right w:val="single" w:sz="6"/>
            </w:tcBorders>
          </w:tcPr>
          <w:p>
            <w:pPr/>
            <w:r>
              <w:rPr>
                <w:rFonts w:hint="eastAsia"/>
                <w:b/>
                <w:color w:val="000000"/>
                <w:sz w:val="24"/>
              </w:rPr>
              <w:t>基本尺寸</w:t>
            </w:r>
          </w:p>
        </w:tc>
        <w:tc>
          <w:tcPr>
            <w:tcBorders>
              <w:top w:val="single" w:sz="6"/>
              <w:left w:val="single" w:sz="6"/>
              <w:bottom w:val="single" w:sz="6"/>
              <w:right w:val="single" w:sz="6"/>
            </w:tcBorders>
          </w:tcPr>
          <w:p>
            <w:pPr/>
            <w:r>
              <w:rPr>
                <w:rFonts w:hint="eastAsia"/>
                <w:b/>
                <w:color w:val="000000"/>
                <w:sz w:val="24"/>
              </w:rPr>
              <w:t>可调范围</w:t>
            </w:r>
          </w:p>
        </w:tc>
        <w:tc>
          <w:tcPr>
            <w:tcBorders>
              <w:top w:val="single" w:sz="6"/>
              <w:left w:val="single" w:sz="6"/>
              <w:bottom w:val="single" w:sz="6"/>
              <w:right w:val="single" w:sz="6"/>
            </w:tcBorders>
          </w:tcPr>
          <w:p>
            <w:pPr/>
            <w:r>
              <w:rPr>
                <w:rFonts w:hint="eastAsia"/>
                <w:b/>
                <w:color w:val="000000"/>
                <w:sz w:val="24"/>
              </w:rPr>
              <w:t>备    注</w:t>
            </w:r>
          </w:p>
        </w:tc>
      </w:tr>
      <w:tr>
        <w:trPr/>
        <w:tc>
          <w:tcPr>
            <w:tcBorders>
              <w:top w:val="single" w:sz="6"/>
              <w:left w:val="single" w:sz="6"/>
              <w:bottom w:val="single" w:sz="6"/>
              <w:right w:val="single" w:sz="6"/>
            </w:tcBorders>
          </w:tcPr>
          <w:p>
            <w:pPr/>
            <w:r>
              <w:rPr>
                <w:rFonts w:hint="eastAsia"/>
                <w:color w:val="000000"/>
                <w:sz w:val="24"/>
              </w:rPr>
              <w:t>H1</w:t>
            </w:r>
          </w:p>
        </w:tc>
        <w:tc>
          <w:tcPr>
            <w:tcBorders>
              <w:top w:val="single" w:sz="6"/>
              <w:left w:val="single" w:sz="6"/>
              <w:bottom w:val="single" w:sz="6"/>
              <w:right w:val="single" w:sz="6"/>
            </w:tcBorders>
          </w:tcPr>
          <w:p>
            <w:pPr/>
            <w:r>
              <w:rPr>
                <w:rFonts w:hint="eastAsia"/>
                <w:color w:val="000000"/>
                <w:sz w:val="24"/>
              </w:rPr>
              <w:t>200</w:t>
            </w:r>
          </w:p>
        </w:tc>
        <w:tc>
          <w:tcPr>
            <w:vMerge w:val="restart"/>
            <w:tcBorders>
              <w:top w:val="single" w:sz="6"/>
              <w:left w:val="single" w:sz="6"/>
              <w:bottom w:val="single" w:sz="6"/>
              <w:right w:val="single" w:sz="6"/>
            </w:tcBorders>
          </w:tcPr>
          <w:p>
            <w:pPr/>
            <w:r>
              <w:rPr>
                <w:rFonts w:hint="eastAsia"/>
                <w:color w:val="000000"/>
                <w:sz w:val="24"/>
              </w:rPr>
              <w:t>±20</w:t>
            </w:r>
          </w:p>
        </w:tc>
        <w:tc>
          <w:tcPr>
            <w:tcBorders>
              <w:top w:val="single" w:sz="6"/>
              <w:left w:val="single" w:sz="6"/>
              <w:bottom w:val="single" w:sz="6"/>
              <w:right w:val="single" w:sz="6"/>
            </w:tcBorders>
          </w:tcPr>
          <w:p>
            <w:pPr/>
            <w:r>
              <w:rPr>
                <w:rFonts w:hint="eastAsia"/>
                <w:color w:val="000000"/>
                <w:sz w:val="24"/>
              </w:rPr>
              <w:t>--</w:t>
            </w:r>
          </w:p>
        </w:tc>
      </w:tr>
      <w:tr>
        <w:trPr/>
        <w:tc>
          <w:tcPr>
            <w:tcBorders>
              <w:top w:val="single" w:sz="6"/>
              <w:left w:val="single" w:sz="6"/>
              <w:bottom w:val="single" w:sz="6"/>
              <w:right w:val="single" w:sz="6"/>
            </w:tcBorders>
          </w:tcPr>
          <w:p>
            <w:pPr/>
            <w:r>
              <w:rPr>
                <w:rFonts w:hint="eastAsia"/>
                <w:color w:val="000000"/>
                <w:sz w:val="24"/>
              </w:rPr>
              <w:t>H2</w:t>
            </w:r>
          </w:p>
        </w:tc>
        <w:tc>
          <w:tcPr>
            <w:tcBorders>
              <w:top w:val="single" w:sz="6"/>
              <w:left w:val="single" w:sz="6"/>
              <w:bottom w:val="single" w:sz="6"/>
              <w:right w:val="single" w:sz="6"/>
            </w:tcBorders>
          </w:tcPr>
          <w:p>
            <w:pPr/>
            <w:r>
              <w:rPr>
                <w:rFonts w:hint="eastAsia"/>
                <w:color w:val="000000"/>
                <w:sz w:val="24"/>
              </w:rPr>
              <w:t>350</w:t>
            </w:r>
          </w:p>
        </w:tc>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color w:val="000000"/>
                <w:sz w:val="24"/>
              </w:rPr>
              <w:t>地板下空间兼作风库</w:t>
            </w:r>
          </w:p>
        </w:tc>
      </w:tr>
    </w:tbl>
    <w:p>
      <w:pPr/>
      <w:r>
        <w:rPr>
          <w:rFonts w:hint="eastAsia"/>
        </w:rPr>
        <w:br/>
      </w:r>
    </w:p>
    <w:p>
      <w:pPr>
        <w:spacing w:line="517" w:lineRule="auto"/>
      </w:pPr>
      <w:r>
        <w:rPr>
          <w:rFonts w:hint="eastAsia"/>
          <w:color w:val="000000"/>
          <w:sz w:val="24"/>
        </w:rPr>
        <w:t>3.2  地板幅面尺寸及尺寸公差见表2，形位公差见表3。</w:t>
      </w:r>
    </w:p>
    <w:p>
      <w:pPr>
        <w:spacing w:line="517" w:lineRule="auto"/>
        <w:jc w:val="center"/>
      </w:pPr>
      <w:r>
        <w:rPr>
          <w:rFonts w:hint="eastAsia"/>
          <w:color w:val="000000"/>
          <w:sz w:val="24"/>
        </w:rPr>
        <w:t>表2   mm</w:t>
      </w:r>
    </w:p>
    <w:tbl>
      <w:tblPr/>
      <w:tblGrid>
        <w:gridCol w:w="1805"/>
        <w:gridCol w:w="1805"/>
        <w:gridCol w:w="1805"/>
        <w:gridCol w:w="1805"/>
        <w:gridCol w:w="1805"/>
      </w:tblGrid>
      <w:tr>
        <w:trPr/>
        <w:tc>
          <w:tcPr>
            <w:tcBorders>
              <w:top w:val="single" w:sz="6"/>
              <w:left w:val="single" w:sz="6"/>
              <w:bottom w:val="single" w:sz="6"/>
              <w:right w:val="single" w:sz="6"/>
            </w:tcBorders>
          </w:tcPr>
          <w:p>
            <w:pPr/>
            <w:r>
              <w:rPr>
                <w:rFonts w:hint="eastAsia"/>
                <w:color w:val="000000"/>
                <w:sz w:val="24"/>
              </w:rPr>
              <w:t> </w:t>
            </w:r>
          </w:p>
        </w:tc>
        <w:tc>
          <w:tcPr>
            <w:tcBorders>
              <w:top w:val="single" w:sz="6"/>
              <w:left w:val="single" w:sz="6"/>
              <w:bottom w:val="single" w:sz="6"/>
              <w:right w:val="single" w:sz="6"/>
            </w:tcBorders>
          </w:tcPr>
          <w:p>
            <w:pPr/>
            <w:r>
              <w:rPr>
                <w:rFonts w:hint="eastAsia"/>
                <w:color w:val="000000"/>
                <w:sz w:val="24"/>
              </w:rPr>
              <w:t>板</w:t>
            </w:r>
          </w:p>
        </w:tc>
        <w:tc>
          <w:tcPr>
            <w:tcBorders>
              <w:top w:val="single" w:sz="6"/>
              <w:left w:val="single" w:sz="6"/>
              <w:bottom w:val="single" w:sz="6"/>
              <w:right w:val="single" w:sz="6"/>
            </w:tcBorders>
          </w:tcPr>
          <w:p>
            <w:pPr/>
            <w:r>
              <w:rPr>
                <w:rFonts w:hint="eastAsia"/>
                <w:color w:val="000000"/>
                <w:sz w:val="24"/>
              </w:rPr>
              <w:t> </w:t>
            </w:r>
          </w:p>
        </w:tc>
        <w:tc>
          <w:tcPr>
            <w:tcBorders>
              <w:top w:val="single" w:sz="6"/>
              <w:left w:val="single" w:sz="6"/>
              <w:bottom w:val="single" w:sz="6"/>
              <w:right w:val="single" w:sz="6"/>
            </w:tcBorders>
          </w:tcPr>
          <w:p>
            <w:pPr/>
            <w:r>
              <w:rPr>
                <w:rFonts w:hint="eastAsia"/>
                <w:color w:val="000000"/>
                <w:sz w:val="24"/>
              </w:rPr>
              <w:t>幅</w:t>
            </w:r>
          </w:p>
        </w:tc>
        <w:tc>
          <w:tcPr>
            <w:tcBorders>
              <w:top w:val="single" w:sz="6"/>
              <w:left w:val="single" w:sz="6"/>
              <w:bottom w:val="single" w:sz="6"/>
              <w:right w:val="single" w:sz="6"/>
            </w:tcBorders>
          </w:tcPr>
          <w:p>
            <w:pPr/>
            <w:r>
              <w:rPr>
                <w:rFonts w:hint="eastAsia"/>
                <w:color w:val="000000"/>
                <w:sz w:val="24"/>
              </w:rPr>
              <w:t> </w:t>
            </w:r>
          </w:p>
        </w:tc>
      </w:tr>
      <w:tr>
        <w:trPr/>
        <w:tc>
          <w:tcPr>
            <w:tcBorders>
              <w:top w:val="single" w:sz="6"/>
              <w:left w:val="single" w:sz="6"/>
              <w:bottom w:val="single" w:sz="6"/>
              <w:right w:val="single" w:sz="6"/>
            </w:tcBorders>
          </w:tcPr>
          <w:p>
            <w:pPr/>
            <w:r>
              <w:rPr>
                <w:rFonts w:hint="eastAsia"/>
                <w:b/>
                <w:color w:val="000000"/>
                <w:sz w:val="24"/>
              </w:rPr>
              <w:t>类型</w:t>
            </w:r>
          </w:p>
        </w:tc>
        <w:tc>
          <w:tcPr>
            <w:tcBorders>
              <w:top w:val="single" w:sz="6"/>
              <w:left w:val="single" w:sz="6"/>
              <w:bottom w:val="single" w:sz="6"/>
              <w:right w:val="single" w:sz="6"/>
            </w:tcBorders>
          </w:tcPr>
          <w:p>
            <w:pPr/>
            <w:r>
              <w:rPr>
                <w:rFonts w:hint="eastAsia"/>
                <w:b/>
                <w:color w:val="000000"/>
                <w:sz w:val="24"/>
              </w:rPr>
              <w:t>基本尺寸</w:t>
            </w:r>
          </w:p>
        </w:tc>
        <w:tc>
          <w:tcPr>
            <w:tcBorders>
              <w:top w:val="single" w:sz="6"/>
              <w:left w:val="single" w:sz="6"/>
              <w:bottom w:val="single" w:sz="6"/>
              <w:right w:val="single" w:sz="6"/>
            </w:tcBorders>
          </w:tcPr>
          <w:p>
            <w:pPr/>
            <w:r>
              <w:rPr>
                <w:rFonts w:hint="eastAsia"/>
                <w:b/>
                <w:color w:val="000000"/>
                <w:sz w:val="24"/>
              </w:rPr>
              <w:t>极限偏差</w:t>
            </w:r>
          </w:p>
        </w:tc>
        <w:tc>
          <w:tcPr>
            <w:tcBorders>
              <w:top w:val="single" w:sz="6"/>
              <w:left w:val="single" w:sz="6"/>
              <w:bottom w:val="single" w:sz="6"/>
              <w:right w:val="single" w:sz="6"/>
            </w:tcBorders>
          </w:tcPr>
          <w:p>
            <w:pPr/>
            <w:r>
              <w:rPr>
                <w:rFonts w:hint="eastAsia"/>
                <w:b/>
                <w:color w:val="000000"/>
                <w:sz w:val="24"/>
              </w:rPr>
              <w:t>基本尺寸</w:t>
            </w:r>
          </w:p>
        </w:tc>
        <w:tc>
          <w:tcPr>
            <w:tcBorders>
              <w:top w:val="single" w:sz="6"/>
              <w:left w:val="single" w:sz="6"/>
              <w:bottom w:val="single" w:sz="6"/>
              <w:right w:val="single" w:sz="6"/>
            </w:tcBorders>
          </w:tcPr>
          <w:p>
            <w:pPr/>
            <w:r>
              <w:rPr>
                <w:rFonts w:hint="eastAsia"/>
                <w:b/>
                <w:color w:val="000000"/>
                <w:sz w:val="24"/>
              </w:rPr>
              <w:t>极限偏差</w:t>
            </w:r>
          </w:p>
        </w:tc>
      </w:tr>
      <w:tr>
        <w:trPr/>
        <w:tc>
          <w:tcPr>
            <w:tcBorders>
              <w:top w:val="single" w:sz="6"/>
              <w:left w:val="single" w:sz="6"/>
              <w:bottom w:val="single" w:sz="6"/>
              <w:right w:val="single" w:sz="6"/>
            </w:tcBorders>
          </w:tcPr>
          <w:p>
            <w:pPr/>
            <w:r>
              <w:rPr>
                <w:rFonts w:hint="eastAsia"/>
                <w:color w:val="000000"/>
                <w:sz w:val="24"/>
              </w:rPr>
              <w:t>A</w:t>
            </w:r>
          </w:p>
        </w:tc>
        <w:tc>
          <w:tcPr>
            <w:tcBorders>
              <w:top w:val="single" w:sz="6"/>
              <w:left w:val="single" w:sz="6"/>
              <w:bottom w:val="single" w:sz="6"/>
              <w:right w:val="single" w:sz="6"/>
            </w:tcBorders>
          </w:tcPr>
          <w:p>
            <w:pPr/>
            <w:r>
              <w:rPr>
                <w:rFonts w:hint="eastAsia"/>
                <w:color w:val="000000"/>
                <w:sz w:val="24"/>
              </w:rPr>
              <w:t>500×500</w:t>
            </w:r>
          </w:p>
        </w:tc>
        <w:tc>
          <w:tcPr>
            <w:vMerge w:val="restart"/>
            <w:tcBorders>
              <w:top w:val="single" w:sz="6"/>
              <w:left w:val="single" w:sz="6"/>
              <w:bottom w:val="single" w:sz="6"/>
              <w:right w:val="single" w:sz="6"/>
            </w:tcBorders>
          </w:tcPr>
          <w:p>
            <w:pPr/>
            <w:r>
              <w:rPr>
                <w:rFonts w:hint="eastAsia"/>
                <w:color w:val="000000"/>
                <w:sz w:val="24"/>
              </w:rPr>
              <w:t>±0.2</w:t>
            </w:r>
          </w:p>
        </w:tc>
        <w:tc>
          <w:tcPr>
            <w:vMerge w:val="restart"/>
            <w:tcBorders>
              <w:top w:val="single" w:sz="6"/>
              <w:left w:val="single" w:sz="6"/>
              <w:bottom w:val="single" w:sz="6"/>
              <w:right w:val="single" w:sz="6"/>
            </w:tcBorders>
          </w:tcPr>
          <w:p>
            <w:pPr/>
            <w:r>
              <w:rPr>
                <w:rFonts w:hint="eastAsia"/>
                <w:color w:val="000000"/>
                <w:sz w:val="24"/>
              </w:rPr>
              <w:t>20、25、30、35</w:t>
            </w:r>
          </w:p>
        </w:tc>
        <w:tc>
          <w:tcPr>
            <w:vMerge w:val="restart"/>
            <w:tcBorders>
              <w:top w:val="single" w:sz="6"/>
              <w:left w:val="single" w:sz="6"/>
              <w:bottom w:val="single" w:sz="6"/>
              <w:right w:val="single" w:sz="6"/>
            </w:tcBorders>
          </w:tcPr>
          <w:p>
            <w:pPr/>
            <w:r>
              <w:rPr>
                <w:rFonts w:hint="eastAsia"/>
                <w:color w:val="000000"/>
                <w:sz w:val="24"/>
              </w:rPr>
              <w:t>±0.2</w:t>
            </w:r>
          </w:p>
        </w:tc>
      </w:tr>
      <w:tr>
        <w:trPr/>
        <w:tc>
          <w:tcPr>
            <w:tcBorders>
              <w:top w:val="single" w:sz="6"/>
              <w:left w:val="single" w:sz="6"/>
              <w:bottom w:val="single" w:sz="6"/>
              <w:right w:val="single" w:sz="6"/>
            </w:tcBorders>
          </w:tcPr>
          <w:p>
            <w:pPr/>
            <w:r>
              <w:rPr>
                <w:rFonts w:hint="eastAsia"/>
                <w:color w:val="000000"/>
                <w:sz w:val="24"/>
              </w:rPr>
              <w:t>B </w:t>
            </w:r>
          </w:p>
        </w:tc>
        <w:tc>
          <w:tcPr>
            <w:tcBorders>
              <w:top w:val="single" w:sz="6"/>
              <w:left w:val="single" w:sz="6"/>
              <w:bottom w:val="single" w:sz="6"/>
              <w:right w:val="single" w:sz="6"/>
            </w:tcBorders>
          </w:tcPr>
          <w:p>
            <w:pPr/>
            <w:r>
              <w:rPr>
                <w:rFonts w:hint="eastAsia"/>
                <w:color w:val="000000"/>
                <w:sz w:val="24"/>
              </w:rPr>
              <w:t>600×600*</w:t>
            </w: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r>
    </w:tbl>
    <w:p>
      <w:pPr/>
      <w:r>
        <w:rPr>
          <w:rFonts w:hint="eastAsia"/>
        </w:rPr>
        <w:br/>
      </w:r>
    </w:p>
    <w:p>
      <w:pPr>
        <w:spacing w:line="517" w:lineRule="auto"/>
        <w:jc w:val="center"/>
      </w:pPr>
      <w:r>
        <w:rPr>
          <w:rFonts w:hint="eastAsia"/>
          <w:color w:val="000000"/>
          <w:sz w:val="24"/>
        </w:rPr>
        <w:t>表3    mm </w:t>
      </w:r>
    </w:p>
    <w:tbl>
      <w:tblPr/>
      <w:tblGrid>
        <w:gridCol w:w="2256"/>
        <w:gridCol w:w="2256"/>
        <w:gridCol w:w="2256"/>
        <w:gridCol w:w="2256"/>
      </w:tblGrid>
      <w:tr>
        <w:trPr/>
        <w:tc>
          <w:tcPr>
            <w:tcBorders>
              <w:top w:val="single" w:sz="6"/>
              <w:left w:val="single" w:sz="6"/>
              <w:bottom w:val="single" w:sz="6"/>
              <w:right w:val="single" w:sz="6"/>
            </w:tcBorders>
          </w:tcPr>
          <w:p>
            <w:pPr/>
            <w:r>
              <w:rPr>
                <w:rFonts w:hint="eastAsia"/>
                <w:color w:val="000000"/>
                <w:sz w:val="24"/>
              </w:rPr>
              <w:t>类型</w:t>
            </w:r>
          </w:p>
        </w:tc>
        <w:tc>
          <w:tcPr>
            <w:tcBorders>
              <w:top w:val="single" w:sz="6"/>
              <w:left w:val="single" w:sz="6"/>
              <w:bottom w:val="single" w:sz="6"/>
              <w:right w:val="single" w:sz="6"/>
            </w:tcBorders>
          </w:tcPr>
          <w:p>
            <w:pPr/>
            <w:r>
              <w:rPr>
                <w:rFonts w:hint="eastAsia"/>
                <w:color w:val="000000"/>
                <w:sz w:val="24"/>
              </w:rPr>
              <w:t>形状公差</w:t>
            </w:r>
          </w:p>
        </w:tc>
        <w:tc>
          <w:tcPr>
            <w:tcBorders>
              <w:top w:val="single" w:sz="6"/>
              <w:left w:val="single" w:sz="6"/>
              <w:bottom w:val="single" w:sz="6"/>
              <w:right w:val="single" w:sz="6"/>
            </w:tcBorders>
          </w:tcPr>
          <w:p>
            <w:pPr/>
            <w:r>
              <w:rPr>
                <w:rFonts w:hint="eastAsia"/>
                <w:color w:val="000000"/>
                <w:sz w:val="24"/>
              </w:rPr>
              <w:t>位置公差</w:t>
            </w:r>
          </w:p>
        </w:tc>
        <w:tc>
          <w:tcPr>
            <w:tcBorders>
              <w:top w:val="single" w:sz="6"/>
              <w:left w:val="single" w:sz="6"/>
              <w:bottom w:val="single" w:sz="6"/>
              <w:right w:val="single" w:sz="6"/>
            </w:tcBorders>
          </w:tcPr>
          <w:p>
            <w:pPr/>
            <w:r>
              <w:rPr>
                <w:rFonts w:hint="eastAsia"/>
                <w:color w:val="000000"/>
                <w:sz w:val="24"/>
              </w:rPr>
              <w:t>备 注</w:t>
            </w:r>
          </w:p>
        </w:tc>
      </w:tr>
      <w:tr>
        <w:trPr/>
        <w:tc>
          <w:tcPr>
            <w:tcBorders>
              <w:top w:val="single" w:sz="6"/>
              <w:left w:val="single" w:sz="6"/>
              <w:bottom w:val="single" w:sz="6"/>
              <w:right w:val="single" w:sz="6"/>
            </w:tcBorders>
          </w:tcPr>
          <w:p>
            <w:pPr/>
            <w:r>
              <w:rPr>
                <w:rFonts w:hint="eastAsia"/>
                <w:color w:val="000000"/>
                <w:sz w:val="24"/>
              </w:rPr>
              <w:t>A</w:t>
            </w:r>
          </w:p>
        </w:tc>
        <w:tc>
          <w:tcPr>
            <w:vMerge w:val="restart"/>
            <w:tcBorders>
              <w:top w:val="single" w:sz="6"/>
              <w:left w:val="single" w:sz="6"/>
              <w:bottom w:val="single" w:sz="6"/>
              <w:right w:val="single" w:sz="6"/>
            </w:tcBorders>
          </w:tcPr>
          <w:p>
            <w:pPr/>
            <w:r>
              <w:rPr>
                <w:rFonts w:hint="eastAsia"/>
                <w:color w:val="000000"/>
                <w:sz w:val="24"/>
              </w:rPr>
              <w:t>地板表面平面度0.3</w:t>
            </w:r>
          </w:p>
        </w:tc>
        <w:tc>
          <w:tcPr>
            <w:vMerge w:val="restart"/>
            <w:tcBorders>
              <w:top w:val="single" w:sz="6"/>
              <w:left w:val="single" w:sz="6"/>
              <w:bottom w:val="single" w:sz="6"/>
              <w:right w:val="single" w:sz="6"/>
            </w:tcBorders>
          </w:tcPr>
          <w:p>
            <w:pPr/>
            <w:r>
              <w:rPr>
                <w:rFonts w:hint="eastAsia"/>
                <w:color w:val="000000"/>
                <w:sz w:val="24"/>
              </w:rPr>
              <w:t>地板相邻边垂直度  0.3</w:t>
            </w:r>
          </w:p>
        </w:tc>
        <w:tc>
          <w:tcPr>
            <w:tcBorders>
              <w:top w:val="single" w:sz="6"/>
              <w:left w:val="single" w:sz="6"/>
              <w:bottom w:val="single" w:sz="6"/>
              <w:right w:val="single" w:sz="6"/>
            </w:tcBorders>
          </w:tcPr>
          <w:p>
            <w:pPr/>
            <w:r>
              <w:rPr>
                <w:rFonts w:hint="eastAsia"/>
                <w:color w:val="000000"/>
                <w:sz w:val="24"/>
              </w:rPr>
              <w:t> </w:t>
            </w:r>
          </w:p>
        </w:tc>
      </w:tr>
      <w:tr>
        <w:trPr/>
        <w:tc>
          <w:tcPr>
            <w:tcBorders>
              <w:top w:val="single" w:sz="6"/>
              <w:left w:val="single" w:sz="6"/>
              <w:bottom w:val="single" w:sz="6"/>
              <w:right w:val="single" w:sz="6"/>
            </w:tcBorders>
          </w:tcPr>
          <w:p>
            <w:pPr/>
            <w:r>
              <w:rPr>
                <w:rFonts w:hint="eastAsia"/>
                <w:color w:val="000000"/>
                <w:sz w:val="24"/>
              </w:rPr>
              <w:t>B</w:t>
            </w:r>
          </w:p>
        </w:tc>
        <w:tc>
          <w:tcPr>
            <w:vMerge/>
            <w:tcBorders>
              <w:top w:val="single" w:sz="6"/>
              <w:left w:val="single" w:sz="6"/>
              <w:bottom w:val="single" w:sz="6"/>
              <w:right w:val="single" w:sz="6"/>
            </w:tcBorders>
          </w:tcPr>
          <w:p/>
        </w:tc>
        <w:tc>
          <w:tcPr>
            <w:vMerge/>
            <w:tcBorders>
              <w:top w:val="single" w:sz="6"/>
              <w:left w:val="single" w:sz="6"/>
              <w:bottom w:val="single" w:sz="6"/>
              <w:right w:val="single" w:sz="6"/>
            </w:tcBorders>
          </w:tcPr>
          <w:p/>
        </w:tc>
        <w:tc>
          <w:tcPr>
            <w:tcBorders>
              <w:top w:val="single" w:sz="6"/>
              <w:left w:val="single" w:sz="6"/>
              <w:bottom w:val="single" w:sz="6"/>
              <w:right w:val="single" w:sz="6"/>
            </w:tcBorders>
          </w:tcPr>
          <w:p>
            <w:pPr/>
            <w:r>
              <w:rPr>
                <w:rFonts w:hint="eastAsia"/>
                <w:color w:val="000000"/>
                <w:sz w:val="24"/>
              </w:rPr>
              <w:t> </w:t>
            </w:r>
          </w:p>
        </w:tc>
      </w:tr>
    </w:tbl>
    <w:p>
      <w:pPr/>
      <w:r>
        <w:rPr>
          <w:rFonts w:hint="eastAsia"/>
        </w:rPr>
        <w:br/>
      </w:r>
    </w:p>
    <w:p>
      <w:pPr>
        <w:spacing w:line="517" w:lineRule="auto"/>
      </w:pPr>
      <w:r>
        <w:rPr>
          <w:rFonts w:hint="eastAsia"/>
          <w:color w:val="000000"/>
          <w:sz w:val="24"/>
        </w:rPr>
        <w:t>注：木质基地板参照表2表3执行? </w:t>
      </w:r>
    </w:p>
    <w:p>
      <w:pPr>
        <w:spacing w:line="413" w:lineRule="auto"/>
      </w:pPr>
      <w:r>
        <w:rPr>
          <w:rFonts w:hint="eastAsia"/>
          <w:color w:val="000000"/>
          <w:sz w:val="20"/>
        </w:rPr>
        <w:t>3.3  型号编制方法 </w:t>
      </w:r>
    </w:p>
    <w:p>
      <w:pPr>
        <w:spacing w:line="413" w:lineRule="auto"/>
      </w:pPr>
      <w:r>
        <w:rPr>
          <w:rFonts w:hint="eastAsia"/>
          <w:color w:val="000000"/>
          <w:sz w:val="20"/>
        </w:rPr>
        <w:t>活动地板的型号用下述方法表示。 </w:t>
      </w:r>
    </w:p>
    <w:p>
      <w:pPr>
        <w:spacing w:line="413" w:lineRule="auto"/>
      </w:pPr>
      <w:r>
        <w:rPr>
          <w:rFonts w:hint="eastAsia"/>
          <w:color w:val="000000"/>
          <w:sz w:val="20"/>
        </w:rPr>
        <w:t>例1：铝质基活动地板，铺设高度为200mm，地板幅面500mm×500mm，承重类型为Z，应写为：HDL·200·500·Z </w:t>
      </w:r>
    </w:p>
    <w:p>
      <w:pPr>
        <w:spacing w:line="413" w:lineRule="auto"/>
      </w:pPr>
      <w:r>
        <w:rPr>
          <w:rFonts w:hint="eastAsia"/>
          <w:color w:val="000000"/>
          <w:sz w:val="20"/>
        </w:rPr>
        <w:t>例2：钢质基活动地板，铺设高度为350mm，地板幅面600mm×600mm，承重类型为Z，应写为：HDG·350·600·Z </w:t>
      </w:r>
    </w:p>
    <w:p>
      <w:pPr>
        <w:spacing w:line="413" w:lineRule="auto"/>
      </w:pPr>
      <w:r>
        <w:rPr>
          <w:rFonts w:hint="eastAsia"/>
          <w:color w:val="000000"/>
          <w:sz w:val="20"/>
        </w:rPr>
        <w:t>例3：木质基活动地板，铺设高度为350mm，地板幅面600mm×600mm，承重类型为Q，应写为：HDM·350·600·Q </w:t>
      </w:r>
    </w:p>
    <w:p>
      <w:pPr>
        <w:spacing w:line="413" w:lineRule="auto"/>
      </w:pPr>
      <w:r>
        <w:rPr>
          <w:rFonts w:hint="eastAsia"/>
          <w:color w:val="000000"/>
          <w:sz w:val="20"/>
        </w:rPr>
        <w:t>4  技术要求 </w:t>
      </w:r>
    </w:p>
    <w:p>
      <w:pPr>
        <w:spacing w:line="413" w:lineRule="auto"/>
      </w:pPr>
      <w:r>
        <w:rPr>
          <w:rFonts w:hint="eastAsia"/>
          <w:color w:val="000000"/>
          <w:sz w:val="20"/>
        </w:rPr>
        <w:t>4.1  活动地板电性能 </w:t>
      </w:r>
    </w:p>
    <w:p>
      <w:pPr>
        <w:spacing w:line="517" w:lineRule="auto"/>
      </w:pPr>
      <w:r>
        <w:rPr>
          <w:rFonts w:hint="eastAsia"/>
          <w:color w:val="000000"/>
          <w:sz w:val="24"/>
        </w:rPr>
        <w:t>在温度为15～30℃，相对湿度为30%～75%时，活动地板系统电阻值分为两级，见表4。</w:t>
      </w:r>
    </w:p>
    <w:p>
      <w:pPr>
        <w:spacing w:line="517" w:lineRule="auto"/>
        <w:jc w:val="center"/>
      </w:pPr>
      <w:r>
        <w:rPr>
          <w:rFonts w:hint="eastAsia"/>
          <w:color w:val="000000"/>
          <w:sz w:val="24"/>
        </w:rPr>
        <w:t>表4 </w:t>
      </w:r>
    </w:p>
    <w:tbl>
      <w:tblPr/>
      <w:tblGrid>
        <w:gridCol w:w="4513"/>
        <w:gridCol w:w="4513"/>
      </w:tblGrid>
      <w:tr>
        <w:trPr/>
        <w:tc>
          <w:tcPr>
            <w:tcBorders>
              <w:top w:val="single" w:sz="6"/>
              <w:left w:val="single" w:sz="6"/>
              <w:bottom w:val="single" w:sz="6"/>
              <w:right w:val="single" w:sz="6"/>
            </w:tcBorders>
          </w:tcPr>
          <w:p>
            <w:pPr/>
            <w:r>
              <w:rPr>
                <w:rFonts w:hint="eastAsia"/>
                <w:color w:val="000000"/>
                <w:sz w:val="24"/>
              </w:rPr>
              <w:t>级 别</w:t>
            </w:r>
          </w:p>
        </w:tc>
        <w:tc>
          <w:tcPr>
            <w:tcBorders>
              <w:top w:val="single" w:sz="6"/>
              <w:left w:val="single" w:sz="6"/>
              <w:bottom w:val="single" w:sz="6"/>
              <w:right w:val="single" w:sz="6"/>
            </w:tcBorders>
          </w:tcPr>
          <w:p>
            <w:pPr/>
            <w:r>
              <w:rPr>
                <w:rFonts w:hint="eastAsia"/>
                <w:color w:val="000000"/>
                <w:sz w:val="24"/>
              </w:rPr>
              <w:t>系统电阻值Ω</w:t>
            </w:r>
          </w:p>
        </w:tc>
      </w:tr>
      <w:tr>
        <w:trPr/>
        <w:tc>
          <w:tcPr>
            <w:tcBorders>
              <w:top w:val="single" w:sz="6"/>
              <w:left w:val="single" w:sz="6"/>
              <w:bottom w:val="single" w:sz="6"/>
              <w:right w:val="single" w:sz="6"/>
            </w:tcBorders>
          </w:tcPr>
          <w:p>
            <w:pPr/>
            <w:r>
              <w:rPr>
                <w:rFonts w:hint="eastAsia"/>
                <w:color w:val="000000"/>
                <w:sz w:val="24"/>
              </w:rPr>
              <w:t>A</w:t>
            </w:r>
          </w:p>
        </w:tc>
        <w:tc>
          <w:tcPr>
            <w:tcBorders>
              <w:top w:val="single" w:sz="6"/>
              <w:left w:val="single" w:sz="6"/>
              <w:bottom w:val="single" w:sz="6"/>
              <w:right w:val="single" w:sz="6"/>
            </w:tcBorders>
          </w:tcPr>
          <w:p>
            <w:pPr/>
            <w:r>
              <w:rPr>
                <w:rFonts w:hint="eastAsia"/>
                <w:color w:val="000000"/>
                <w:sz w:val="24"/>
              </w:rPr>
              <w:t>1.0×10的5次方～1.0×10的8次方</w:t>
            </w:r>
          </w:p>
        </w:tc>
      </w:tr>
      <w:tr>
        <w:trPr/>
        <w:tc>
          <w:tcPr>
            <w:tcBorders>
              <w:top w:val="single" w:sz="6"/>
              <w:left w:val="single" w:sz="6"/>
              <w:bottom w:val="single" w:sz="6"/>
              <w:right w:val="single" w:sz="6"/>
            </w:tcBorders>
          </w:tcPr>
          <w:p>
            <w:pPr/>
            <w:r>
              <w:rPr>
                <w:rFonts w:hint="eastAsia"/>
                <w:color w:val="000000"/>
                <w:sz w:val="24"/>
              </w:rPr>
              <w:t>B</w:t>
            </w:r>
          </w:p>
        </w:tc>
        <w:tc>
          <w:tcPr>
            <w:tcBorders>
              <w:top w:val="single" w:sz="6"/>
              <w:left w:val="single" w:sz="6"/>
              <w:bottom w:val="single" w:sz="6"/>
              <w:right w:val="single" w:sz="6"/>
            </w:tcBorders>
          </w:tcPr>
          <w:p>
            <w:pPr/>
            <w:r>
              <w:rPr>
                <w:rFonts w:hint="eastAsia"/>
                <w:color w:val="000000"/>
                <w:sz w:val="24"/>
              </w:rPr>
              <w:t>1.0×10的5次方～1.0×10的10次方</w:t>
            </w:r>
          </w:p>
        </w:tc>
      </w:tr>
    </w:tbl>
    <w:p>
      <w:pPr/>
      <w:r>
        <w:rPr>
          <w:rFonts w:hint="eastAsia"/>
        </w:rPr>
        <w:br/>
      </w:r>
    </w:p>
    <w:p>
      <w:pPr>
        <w:spacing w:line="517" w:lineRule="auto"/>
      </w:pPr>
      <w:r>
        <w:rPr>
          <w:rFonts w:hint="eastAsia"/>
          <w:color w:val="000000"/>
          <w:sz w:val="24"/>
        </w:rPr>
        <w:t>4.2  地板的机械性能 </w:t>
      </w:r>
    </w:p>
    <w:p>
      <w:pPr>
        <w:spacing w:line="517" w:lineRule="auto"/>
      </w:pPr>
      <w:r>
        <w:rPr>
          <w:rFonts w:hint="eastAsia"/>
          <w:color w:val="000000"/>
          <w:sz w:val="24"/>
        </w:rPr>
        <w:t>4.2.1  地板的机械性能应符合表5的规定?</w:t>
      </w:r>
    </w:p>
    <w:p>
      <w:pPr>
        <w:spacing w:line="517" w:lineRule="auto"/>
        <w:jc w:val="center"/>
      </w:pPr>
      <w:r>
        <w:rPr>
          <w:rFonts w:hint="eastAsia"/>
          <w:color w:val="000000"/>
          <w:sz w:val="24"/>
        </w:rPr>
        <w:t>表5 </w:t>
      </w:r>
    </w:p>
    <w:tbl>
      <w:tblPr/>
      <w:tblGrid>
        <w:gridCol w:w="2256"/>
        <w:gridCol w:w="2256"/>
        <w:gridCol w:w="2256"/>
        <w:gridCol w:w="2256"/>
      </w:tblGrid>
      <w:tr>
        <w:trPr/>
        <w:tc>
          <w:tcPr>
            <w:tcBorders>
              <w:top w:val="single" w:sz="6"/>
              <w:left w:val="single" w:sz="6"/>
              <w:bottom w:val="single" w:sz="6"/>
              <w:right w:val="single" w:sz="6"/>
            </w:tcBorders>
          </w:tcPr>
          <w:p>
            <w:pPr/>
            <w:r>
              <w:rPr>
                <w:rFonts w:hint="eastAsia"/>
                <w:color w:val="000000"/>
                <w:sz w:val="24"/>
              </w:rPr>
              <w:t>承重类型</w:t>
            </w:r>
          </w:p>
        </w:tc>
        <w:tc>
          <w:tcPr>
            <w:tcBorders>
              <w:top w:val="single" w:sz="6"/>
              <w:left w:val="single" w:sz="6"/>
              <w:bottom w:val="single" w:sz="6"/>
              <w:right w:val="single" w:sz="6"/>
            </w:tcBorders>
          </w:tcPr>
          <w:p>
            <w:pPr/>
            <w:r>
              <w:rPr>
                <w:rFonts w:hint="eastAsia"/>
                <w:color w:val="000000"/>
                <w:sz w:val="24"/>
              </w:rPr>
              <w:t>均布荷载kg/m的2次方 </w:t>
            </w:r>
          </w:p>
        </w:tc>
        <w:tc>
          <w:tcPr>
            <w:tcBorders>
              <w:top w:val="single" w:sz="6"/>
              <w:left w:val="single" w:sz="6"/>
              <w:bottom w:val="single" w:sz="6"/>
              <w:right w:val="single" w:sz="6"/>
            </w:tcBorders>
          </w:tcPr>
          <w:p>
            <w:pPr/>
            <w:r>
              <w:rPr>
                <w:rFonts w:hint="eastAsia"/>
                <w:color w:val="000000"/>
                <w:sz w:val="24"/>
              </w:rPr>
              <w:t>集中荷载 kg </w:t>
            </w:r>
          </w:p>
        </w:tc>
        <w:tc>
          <w:tcPr>
            <w:tcBorders>
              <w:top w:val="single" w:sz="6"/>
              <w:left w:val="single" w:sz="6"/>
              <w:bottom w:val="single" w:sz="6"/>
              <w:right w:val="single" w:sz="6"/>
            </w:tcBorders>
          </w:tcPr>
          <w:p>
            <w:pPr/>
            <w:r>
              <w:rPr>
                <w:rFonts w:hint="eastAsia"/>
                <w:color w:val="000000"/>
                <w:sz w:val="24"/>
              </w:rPr>
              <w:t>挠    度</w:t>
            </w:r>
          </w:p>
        </w:tc>
      </w:tr>
      <w:tr>
        <w:trPr/>
        <w:tc>
          <w:tcPr>
            <w:tcBorders>
              <w:top w:val="single" w:sz="6"/>
              <w:left w:val="single" w:sz="6"/>
              <w:bottom w:val="single" w:sz="6"/>
              <w:right w:val="single" w:sz="6"/>
            </w:tcBorders>
          </w:tcPr>
          <w:p>
            <w:pPr/>
            <w:r>
              <w:rPr>
                <w:rFonts w:hint="eastAsia"/>
                <w:color w:val="000000"/>
                <w:sz w:val="24"/>
              </w:rPr>
              <w:t>Q </w:t>
            </w:r>
          </w:p>
        </w:tc>
        <w:tc>
          <w:tcPr>
            <w:tcBorders>
              <w:top w:val="single" w:sz="6"/>
              <w:left w:val="single" w:sz="6"/>
              <w:bottom w:val="single" w:sz="6"/>
              <w:right w:val="single" w:sz="6"/>
            </w:tcBorders>
          </w:tcPr>
          <w:p>
            <w:pPr/>
            <w:r>
              <w:rPr>
                <w:rFonts w:hint="eastAsia"/>
                <w:color w:val="000000"/>
                <w:sz w:val="24"/>
              </w:rPr>
              <w:t>〉800</w:t>
            </w:r>
          </w:p>
        </w:tc>
        <w:tc>
          <w:tcPr>
            <w:tcBorders>
              <w:top w:val="single" w:sz="6"/>
              <w:left w:val="single" w:sz="6"/>
              <w:bottom w:val="single" w:sz="6"/>
              <w:right w:val="single" w:sz="6"/>
            </w:tcBorders>
          </w:tcPr>
          <w:p>
            <w:pPr/>
            <w:r>
              <w:rPr>
                <w:rFonts w:hint="eastAsia"/>
                <w:color w:val="000000"/>
                <w:sz w:val="24"/>
              </w:rPr>
              <w:t>〉200 </w:t>
            </w:r>
          </w:p>
        </w:tc>
        <w:tc>
          <w:tcPr>
            <w:tcBorders>
              <w:top w:val="single" w:sz="6"/>
              <w:left w:val="single" w:sz="6"/>
              <w:bottom w:val="single" w:sz="6"/>
              <w:right w:val="single" w:sz="6"/>
            </w:tcBorders>
          </w:tcPr>
          <w:p>
            <w:pPr/>
            <w:r>
              <w:rPr>
                <w:rFonts w:hint="eastAsia"/>
                <w:color w:val="000000"/>
                <w:sz w:val="24"/>
              </w:rPr>
              <w:t>中心集中荷载为150kg时，挠曲量1.5mm以下</w:t>
            </w:r>
          </w:p>
        </w:tc>
      </w:tr>
      <w:tr>
        <w:trPr/>
        <w:tc>
          <w:tcPr>
            <w:tcBorders>
              <w:top w:val="single" w:sz="6"/>
              <w:left w:val="single" w:sz="6"/>
              <w:bottom w:val="single" w:sz="6"/>
              <w:right w:val="single" w:sz="6"/>
            </w:tcBorders>
          </w:tcPr>
          <w:p>
            <w:pPr/>
            <w:r>
              <w:rPr>
                <w:rFonts w:hint="eastAsia"/>
                <w:color w:val="000000"/>
                <w:sz w:val="24"/>
              </w:rPr>
              <w:t>Z</w:t>
            </w:r>
          </w:p>
        </w:tc>
        <w:tc>
          <w:tcPr>
            <w:tcBorders>
              <w:top w:val="single" w:sz="6"/>
              <w:left w:val="single" w:sz="6"/>
              <w:bottom w:val="single" w:sz="6"/>
              <w:right w:val="single" w:sz="6"/>
            </w:tcBorders>
          </w:tcPr>
          <w:p>
            <w:pPr/>
            <w:r>
              <w:rPr>
                <w:rFonts w:hint="eastAsia"/>
                <w:color w:val="000000"/>
                <w:sz w:val="24"/>
              </w:rPr>
              <w:t>〉1600</w:t>
            </w:r>
          </w:p>
        </w:tc>
        <w:tc>
          <w:tcPr>
            <w:tcBorders>
              <w:top w:val="single" w:sz="6"/>
              <w:left w:val="single" w:sz="6"/>
              <w:bottom w:val="single" w:sz="6"/>
              <w:right w:val="single" w:sz="6"/>
            </w:tcBorders>
          </w:tcPr>
          <w:p>
            <w:pPr/>
            <w:r>
              <w:rPr>
                <w:rFonts w:hint="eastAsia"/>
                <w:color w:val="000000"/>
                <w:sz w:val="24"/>
              </w:rPr>
              <w:t>〉400</w:t>
            </w:r>
          </w:p>
        </w:tc>
        <w:tc>
          <w:tcPr>
            <w:tcBorders>
              <w:top w:val="single" w:sz="6"/>
              <w:left w:val="single" w:sz="6"/>
              <w:bottom w:val="single" w:sz="6"/>
              <w:right w:val="single" w:sz="6"/>
            </w:tcBorders>
          </w:tcPr>
          <w:p>
            <w:pPr/>
            <w:r>
              <w:rPr>
                <w:rFonts w:hint="eastAsia"/>
                <w:color w:val="000000"/>
                <w:sz w:val="24"/>
              </w:rPr>
              <w:t>中心集中荷载为300kg时挠曲量2mm以下</w:t>
            </w:r>
          </w:p>
        </w:tc>
      </w:tr>
    </w:tbl>
    <w:p>
      <w:pPr/>
      <w:r>
        <w:rPr>
          <w:rFonts w:hint="eastAsia"/>
        </w:rPr>
        <w:br/>
      </w:r>
    </w:p>
    <w:p>
      <w:pPr>
        <w:spacing w:line="517" w:lineRule="auto"/>
      </w:pPr>
      <w:r>
        <w:rPr>
          <w:rFonts w:hint="eastAsia"/>
          <w:color w:val="000000"/>
          <w:sz w:val="24"/>
        </w:rPr>
        <w:t>4.2.2  支撑的承载能力应大于1000kg。 </w:t>
      </w:r>
    </w:p>
    <w:p>
      <w:pPr>
        <w:spacing w:line="413" w:lineRule="auto"/>
      </w:pPr>
      <w:r>
        <w:rPr>
          <w:rFonts w:hint="eastAsia"/>
          <w:color w:val="000000"/>
          <w:sz w:val="20"/>
        </w:rPr>
        <w:t>4.2.3  地板表面应柔光、不打滑、耐污染。 </w:t>
      </w:r>
    </w:p>
    <w:p>
      <w:pPr>
        <w:spacing w:line="413" w:lineRule="auto"/>
      </w:pPr>
      <w:r>
        <w:rPr>
          <w:rFonts w:hint="eastAsia"/>
          <w:color w:val="000000"/>
          <w:sz w:val="20"/>
        </w:rPr>
        <w:t>5  试验方法 </w:t>
      </w:r>
    </w:p>
    <w:p>
      <w:pPr>
        <w:spacing w:line="413" w:lineRule="auto"/>
      </w:pPr>
      <w:r>
        <w:rPr>
          <w:rFonts w:hint="eastAsia"/>
          <w:color w:val="000000"/>
          <w:sz w:val="20"/>
        </w:rPr>
        <w:t>5.1  试验条件 </w:t>
      </w:r>
    </w:p>
    <w:p>
      <w:pPr>
        <w:spacing w:line="413" w:lineRule="auto"/>
      </w:pPr>
      <w:r>
        <w:rPr>
          <w:rFonts w:hint="eastAsia"/>
          <w:color w:val="000000"/>
          <w:sz w:val="20"/>
        </w:rPr>
        <w:t>在本标准中，除4.1外其他试验均应在正常大气条件下进行，正常大气条件为： </w:t>
      </w:r>
    </w:p>
    <w:p>
      <w:pPr>
        <w:spacing w:line="413" w:lineRule="auto"/>
      </w:pPr>
      <w:r>
        <w:rPr>
          <w:rFonts w:hint="eastAsia"/>
          <w:color w:val="000000"/>
          <w:sz w:val="20"/>
        </w:rPr>
        <w:t>环境温度：15～35℃ </w:t>
      </w:r>
    </w:p>
    <w:p>
      <w:pPr>
        <w:spacing w:line="413" w:lineRule="auto"/>
      </w:pPr>
      <w:r>
        <w:rPr>
          <w:rFonts w:hint="eastAsia"/>
          <w:color w:val="000000"/>
          <w:sz w:val="20"/>
        </w:rPr>
        <w:t>    环境相对湿度：45%～75% </w:t>
      </w:r>
    </w:p>
    <w:p>
      <w:pPr>
        <w:spacing w:line="413" w:lineRule="auto"/>
      </w:pPr>
      <w:r>
        <w:rPr>
          <w:rFonts w:hint="eastAsia"/>
          <w:color w:val="000000"/>
          <w:sz w:val="20"/>
        </w:rPr>
        <w:t>大气压力：86～106kPa </w:t>
      </w:r>
    </w:p>
    <w:p>
      <w:pPr>
        <w:spacing w:line="413" w:lineRule="auto"/>
      </w:pPr>
      <w:r>
        <w:rPr>
          <w:rFonts w:hint="eastAsia"/>
          <w:color w:val="000000"/>
          <w:sz w:val="20"/>
        </w:rPr>
        <w:t>5.2  外观和尺寸检验 </w:t>
      </w:r>
    </w:p>
    <w:p>
      <w:pPr>
        <w:spacing w:line="413" w:lineRule="auto"/>
      </w:pPr>
      <w:r>
        <w:rPr>
          <w:rFonts w:hint="eastAsia"/>
          <w:color w:val="000000"/>
          <w:sz w:val="20"/>
        </w:rPr>
        <w:t>用目测和触摸法检验，产品应符合4.2.3的要求。用测量法检验，应符合3.1和3.2的要求。 </w:t>
      </w:r>
    </w:p>
    <w:p>
      <w:pPr>
        <w:spacing w:line="413" w:lineRule="auto"/>
      </w:pPr>
      <w:r>
        <w:rPr>
          <w:rFonts w:hint="eastAsia"/>
          <w:color w:val="000000"/>
          <w:sz w:val="20"/>
        </w:rPr>
        <w:t>5.3  电性能检验 </w:t>
      </w:r>
    </w:p>
    <w:p>
      <w:pPr>
        <w:spacing w:line="413" w:lineRule="auto"/>
      </w:pPr>
      <w:r>
        <w:rPr>
          <w:rFonts w:hint="eastAsia"/>
          <w:color w:val="000000"/>
          <w:sz w:val="20"/>
        </w:rPr>
        <w:t>5.3.1  检验设备 </w:t>
      </w:r>
    </w:p>
    <w:p>
      <w:pPr>
        <w:spacing w:line="413" w:lineRule="auto"/>
      </w:pPr>
      <w:r>
        <w:rPr>
          <w:rFonts w:hint="eastAsia"/>
          <w:color w:val="000000"/>
          <w:sz w:val="20"/>
        </w:rPr>
        <w:t>5.3.1.1  用黄铜圆柱体作电极，其直径为50±0.1mm，重量为0.5kg。 </w:t>
      </w:r>
    </w:p>
    <w:p>
      <w:pPr>
        <w:spacing w:line="413" w:lineRule="auto"/>
      </w:pPr>
      <w:r>
        <w:rPr>
          <w:rFonts w:hint="eastAsia"/>
          <w:color w:val="000000"/>
          <w:sz w:val="20"/>
        </w:rPr>
        <w:t>5.3.1.2  用输出电压为直流500V的兆欧表。兆欧表和引线对地电阻不低于10的10次方Ω。 </w:t>
      </w:r>
    </w:p>
    <w:p>
      <w:pPr>
        <w:spacing w:line="413" w:lineRule="auto"/>
      </w:pPr>
      <w:r>
        <w:rPr>
          <w:rFonts w:hint="eastAsia"/>
          <w:color w:val="000000"/>
          <w:sz w:val="20"/>
        </w:rPr>
        <w:t>5.3.2  检验方法 </w:t>
      </w:r>
    </w:p>
    <w:p>
      <w:pPr>
        <w:spacing w:line="413" w:lineRule="auto"/>
      </w:pPr>
      <w:r>
        <w:rPr>
          <w:rFonts w:hint="eastAsia"/>
          <w:color w:val="000000"/>
          <w:sz w:val="20"/>
        </w:rPr>
        <w:t>5.3.2.1  检验原理按图3所示。 </w:t>
      </w:r>
    </w:p>
    <w:p>
      <w:pPr>
        <w:spacing w:line="413" w:lineRule="auto"/>
      </w:pPr>
      <w:r>
        <w:rPr>
          <w:rFonts w:hint="eastAsia"/>
          <w:color w:val="000000"/>
          <w:sz w:val="20"/>
        </w:rPr>
        <w:t>5.3.2.2  用中性洗涤剂清洗地板表面。 </w:t>
      </w:r>
    </w:p>
    <w:p>
      <w:pPr>
        <w:spacing w:line="413" w:lineRule="auto"/>
      </w:pPr>
      <w:r>
        <w:rPr>
          <w:rFonts w:hint="eastAsia"/>
          <w:color w:val="000000"/>
          <w:sz w:val="20"/>
        </w:rPr>
        <w:t>5.3.2.3  地板按5.3.2.1的要求安装，并在4.1要求的温、湿度条件下放置24h以上。 </w:t>
      </w:r>
    </w:p>
    <w:p>
      <w:pPr>
        <w:spacing w:line="413" w:lineRule="auto"/>
      </w:pPr>
      <w:r>
        <w:rPr>
          <w:rFonts w:hint="eastAsia"/>
          <w:color w:val="000000"/>
          <w:sz w:val="20"/>
        </w:rPr>
        <w:t>5.3.2.4  在地板上任选五个以上的点，将与电极尺寸相同的导电海绵放置于选定的点上，然后放置电极，按图3中的顺序连接。 </w:t>
      </w:r>
    </w:p>
    <w:p>
      <w:pPr>
        <w:spacing w:line="413" w:lineRule="auto"/>
      </w:pPr>
      <w:r>
        <w:rPr>
          <w:rFonts w:hint="eastAsia"/>
          <w:color w:val="000000"/>
          <w:sz w:val="20"/>
        </w:rPr>
        <w:t>5.3.2.5  按表6所示，将测量数据记录下来，测出的逐点值均应符合4.1的要求。 </w:t>
      </w:r>
    </w:p>
    <w:p>
      <w:pPr>
        <w:spacing w:line="413" w:lineRule="auto"/>
      </w:pPr>
      <w:r>
        <w:rPr>
          <w:rFonts w:hint="eastAsia"/>
          <w:color w:val="000000"/>
          <w:sz w:val="20"/>
        </w:rPr>
        <w:t>5.4  机械性能检验 </w:t>
      </w:r>
    </w:p>
    <w:p>
      <w:pPr>
        <w:spacing w:line="413" w:lineRule="auto"/>
      </w:pPr>
      <w:r>
        <w:rPr>
          <w:rFonts w:hint="eastAsia"/>
          <w:color w:val="000000"/>
          <w:sz w:val="20"/>
        </w:rPr>
        <w:t>5.4.1  检验设备 </w:t>
      </w:r>
    </w:p>
    <w:p>
      <w:pPr>
        <w:spacing w:line="413" w:lineRule="auto"/>
      </w:pPr>
      <w:r>
        <w:rPr>
          <w:rFonts w:hint="eastAsia"/>
          <w:color w:val="000000"/>
          <w:sz w:val="20"/>
        </w:rPr>
        <w:t>5.4.1.1  可用小型压力机加载，也可以通过承力架，用小型手动螺旋千斤顶(5t左右)配合小型压力传感器控制加载力。 </w:t>
      </w:r>
    </w:p>
    <w:p>
      <w:pPr>
        <w:spacing w:line="413" w:lineRule="auto"/>
      </w:pPr>
      <w:r>
        <w:rPr>
          <w:rFonts w:hint="eastAsia"/>
          <w:color w:val="000000"/>
          <w:sz w:val="20"/>
        </w:rPr>
        <w:t>5.4.1.2  可用位移传感器或百分表测量变位量。也可用x--y函数记录仪作自动连续记录配套使用，由x--y函数记录仪作自动连续记录，画出荷载位移曲线，直至地板破坏为止. </w:t>
      </w:r>
    </w:p>
    <w:p>
      <w:pPr>
        <w:spacing w:line="413" w:lineRule="auto"/>
      </w:pPr>
      <w:r>
        <w:rPr>
          <w:rFonts w:hint="eastAsia"/>
          <w:color w:val="000000"/>
          <w:sz w:val="20"/>
        </w:rPr>
        <w:t>                             表6略 </w:t>
      </w:r>
    </w:p>
    <w:p>
      <w:pPr>
        <w:spacing w:line="413" w:lineRule="auto"/>
      </w:pPr>
      <w:r>
        <w:rPr>
          <w:rFonts w:hint="eastAsia"/>
          <w:color w:val="000000"/>
          <w:sz w:val="20"/>
        </w:rPr>
        <w:t>    </w:t>
      </w:r>
    </w:p>
    <w:p>
      <w:pPr>
        <w:spacing w:line="413" w:lineRule="auto"/>
      </w:pPr>
      <w:r>
        <w:rPr>
          <w:rFonts w:hint="eastAsia"/>
          <w:color w:val="000000"/>
          <w:sz w:val="20"/>
        </w:rPr>
        <w:t>5.4.1.3  加载设备误差±5kg，位移测试误差±0.01mm。 </w:t>
      </w:r>
    </w:p>
    <w:p>
      <w:pPr>
        <w:spacing w:line="413" w:lineRule="auto"/>
      </w:pPr>
      <w:r>
        <w:rPr>
          <w:rFonts w:hint="eastAsia"/>
          <w:color w:val="000000"/>
          <w:sz w:val="20"/>
        </w:rPr>
        <w:t>5.4.2  检验方法 </w:t>
      </w:r>
    </w:p>
    <w:p>
      <w:pPr>
        <w:spacing w:line="413" w:lineRule="auto"/>
      </w:pPr>
      <w:r>
        <w:rPr>
          <w:rFonts w:hint="eastAsia"/>
          <w:color w:val="000000"/>
          <w:sz w:val="20"/>
        </w:rPr>
        <w:t>5.4.2.1  按图4所示，将地板放置于检验设备上。 </w:t>
      </w:r>
    </w:p>
    <w:p>
      <w:pPr>
        <w:spacing w:line="413" w:lineRule="auto"/>
      </w:pPr>
      <w:r>
        <w:rPr>
          <w:rFonts w:hint="eastAsia"/>
          <w:color w:val="000000"/>
          <w:sz w:val="20"/>
        </w:rPr>
        <w:t>                          （略） </w:t>
      </w:r>
    </w:p>
    <w:p>
      <w:pPr>
        <w:spacing w:line="413" w:lineRule="auto"/>
      </w:pPr>
      <w:r>
        <w:rPr>
          <w:rFonts w:hint="eastAsia"/>
          <w:color w:val="000000"/>
          <w:sz w:val="20"/>
        </w:rPr>
        <w:t>                             图4 </w:t>
      </w:r>
    </w:p>
    <w:p>
      <w:pPr>
        <w:spacing w:line="413" w:lineRule="auto"/>
      </w:pPr>
      <w:r>
        <w:rPr>
          <w:rFonts w:hint="eastAsia"/>
          <w:color w:val="000000"/>
          <w:sz w:val="20"/>
        </w:rPr>
        <w:t>5.4.2.2  地板按实际使用情况安装，四周支承式活动地板要确保地板四边安装在横梁上；四角地承式活动地板要确保地板四角安装于支撑上，并调节支 </w:t>
      </w:r>
    </w:p>
    <w:p>
      <w:pPr>
        <w:spacing w:line="413" w:lineRule="auto"/>
      </w:pPr>
      <w:r>
        <w:rPr>
          <w:rFonts w:hint="eastAsia"/>
          <w:color w:val="000000"/>
          <w:sz w:val="20"/>
        </w:rPr>
        <w:t>撑使地板板面水平，确保四个支撑柱同时受力。 </w:t>
      </w:r>
    </w:p>
    <w:p>
      <w:pPr>
        <w:spacing w:line="413" w:lineRule="auto"/>
      </w:pPr>
      <w:r>
        <w:rPr>
          <w:rFonts w:hint="eastAsia"/>
          <w:color w:val="000000"/>
          <w:sz w:val="20"/>
        </w:rPr>
        <w:t>5.4.2.3  将压力传感器与橡皮垫板安放在地板中央，压力传感器和橡皮垫板的直径为50mm。 </w:t>
      </w:r>
    </w:p>
    <w:p>
      <w:pPr>
        <w:spacing w:line="413" w:lineRule="auto"/>
      </w:pPr>
      <w:r>
        <w:rPr>
          <w:rFonts w:hint="eastAsia"/>
          <w:color w:val="000000"/>
          <w:sz w:val="20"/>
        </w:rPr>
        <w:t>5.4.2.4  安装加载设备(千斤顶)，确保加力点垂直对中。安装位移传感器或百分表于地板底部中央，应保证位移杆垂直对中。 </w:t>
      </w:r>
    </w:p>
    <w:p>
      <w:pPr>
        <w:spacing w:line="413" w:lineRule="auto"/>
      </w:pPr>
      <w:r>
        <w:rPr>
          <w:rFonts w:hint="eastAsia"/>
          <w:color w:val="000000"/>
          <w:sz w:val="20"/>
        </w:rPr>
        <w:t>5.4.3  加载与卸载 </w:t>
      </w:r>
    </w:p>
    <w:p>
      <w:pPr>
        <w:spacing w:line="413" w:lineRule="auto"/>
      </w:pPr>
      <w:r>
        <w:rPr>
          <w:rFonts w:hint="eastAsia"/>
          <w:color w:val="000000"/>
          <w:sz w:val="20"/>
        </w:rPr>
        <w:t>5.4.3.1  当采用x--y函数记录仪自动画荷载位移曲线时，应要用慢速、连续均匀加载，加载速度应控制在100kg/min左右。加载至本标准规定的荷载值后 </w:t>
      </w:r>
    </w:p>
    <w:p>
      <w:pPr>
        <w:spacing w:line="413" w:lineRule="auto"/>
      </w:pPr>
      <w:r>
        <w:rPr>
          <w:rFonts w:hint="eastAsia"/>
          <w:color w:val="000000"/>
          <w:sz w:val="20"/>
        </w:rPr>
        <w:t>进行卸载。 </w:t>
      </w:r>
    </w:p>
    <w:p>
      <w:pPr>
        <w:spacing w:line="413" w:lineRule="auto"/>
      </w:pPr>
      <w:r>
        <w:rPr>
          <w:rFonts w:hint="eastAsia"/>
          <w:color w:val="000000"/>
          <w:sz w:val="20"/>
        </w:rPr>
        <w:t>当无自动记录仪时，应采用慢速逐级加载，第一次可加本标准规定荷载的五分之一，而后每次增加本标准规定荷载的十分之一为一级，接近本标准规定 </w:t>
      </w:r>
    </w:p>
    <w:p>
      <w:pPr>
        <w:spacing w:line="413" w:lineRule="auto"/>
      </w:pPr>
      <w:r>
        <w:rPr>
          <w:rFonts w:hint="eastAsia"/>
          <w:color w:val="000000"/>
          <w:sz w:val="20"/>
        </w:rPr>
        <w:t>荷载时，可改为每次增加本标准规定荷载的二十分之一级，分级荷载间隔15min，并在加下一级荷载前记录一次位移值。加载至本标准规定荷载后进行卸载。每 </w:t>
      </w:r>
    </w:p>
    <w:p>
      <w:pPr>
        <w:spacing w:line="413" w:lineRule="auto"/>
      </w:pPr>
      <w:r>
        <w:rPr>
          <w:rFonts w:hint="eastAsia"/>
          <w:color w:val="000000"/>
          <w:sz w:val="20"/>
        </w:rPr>
        <w:t>次卸载值为加载值的二倍，时间间隔为15min，卸下一次荷载前记录一次变位值，直到荷载为零。 </w:t>
      </w:r>
    </w:p>
    <w:p>
      <w:pPr>
        <w:spacing w:line="240" w:lineRule="auto"/>
        <w:ind w:firstLineChars="0"/>
        <w:jc w:val="left"/>
      </w:pPr>
      <w:r>
        <w:rPr>
          <w:rFonts w:hint="eastAsia"/>
          <w:color w:val="000000"/>
        </w:rPr>
        <w:t>5.4.3.2  按5.4.3.1加载方法重新加载，直到地板破坏为止。当地板发出断裂声，荷载位移P-S曲线发生拐折即为破坏。以加载破坏前一级荷载为地板的 极限破坏荷载。 </w:t>
      </w:r>
    </w:p>
    <w:p>
      <w:pPr>
        <w:spacing w:line="240" w:lineRule="auto"/>
        <w:ind w:firstLineChars="0"/>
        <w:jc w:val="left"/>
      </w:pPr>
      <w:r>
        <w:rPr>
          <w:rFonts w:hint="eastAsia"/>
          <w:color w:val="000000"/>
        </w:rPr>
        <w:t>5.4.4  试验报告 </w:t>
      </w:r>
    </w:p>
    <w:p>
      <w:pPr>
        <w:spacing w:line="240" w:lineRule="auto"/>
        <w:ind w:firstLineChars="0"/>
        <w:jc w:val="left"/>
      </w:pPr>
      <w:r>
        <w:rPr>
          <w:rFonts w:hint="eastAsia"/>
          <w:color w:val="000000"/>
        </w:rPr>
        <w:t>5.4.4.1  作出每块地板荷载挠度P-S曲线或S-lgP曲线。 </w:t>
      </w:r>
    </w:p>
    <w:p>
      <w:pPr>
        <w:spacing w:line="240" w:lineRule="auto"/>
        <w:ind w:firstLineChars="0"/>
        <w:jc w:val="left"/>
      </w:pPr>
      <w:r>
        <w:rPr>
          <w:rFonts w:hint="eastAsia"/>
          <w:color w:val="000000"/>
        </w:rPr>
        <w:t>5.4.4.2  根据加载终止原则，决定地板极限破坏荷载值。 </w:t>
      </w:r>
    </w:p>
    <w:p>
      <w:pPr>
        <w:spacing w:line="240" w:lineRule="auto"/>
        <w:ind w:firstLineChars="0"/>
        <w:jc w:val="left"/>
      </w:pPr>
      <w:r>
        <w:rPr>
          <w:rFonts w:hint="eastAsia"/>
          <w:color w:val="000000"/>
        </w:rPr>
        <w:t>5.4.4.3  按下列公式将地板的集中荷载及限破坏值换算成地板的均布荷载极限破坏值。 </w:t>
      </w:r>
    </w:p>
    <w:p>
      <w:pPr>
        <w:spacing w:line="240" w:lineRule="auto"/>
        <w:ind w:firstLineChars="0"/>
        <w:jc w:val="left"/>
      </w:pPr>
      <w:r>
        <w:rPr>
          <w:rFonts w:hint="eastAsia"/>
          <w:color w:val="000000"/>
        </w:rPr>
        <w:t>                      p </w:t>
      </w:r>
    </w:p>
    <w:p>
      <w:pPr>
        <w:spacing w:line="240" w:lineRule="auto"/>
        <w:ind w:firstLineChars="0"/>
        <w:jc w:val="left"/>
      </w:pPr>
      <w:r>
        <w:rPr>
          <w:rFonts w:hint="eastAsia"/>
          <w:color w:val="000000"/>
        </w:rPr>
        <w:t>               p  aP </w:t>
      </w:r>
    </w:p>
    <w:p>
      <w:pPr>
        <w:spacing w:line="240" w:lineRule="auto"/>
        <w:ind w:firstLineChars="0"/>
        <w:jc w:val="left"/>
      </w:pPr>
      <w:r>
        <w:rPr>
          <w:rFonts w:hint="eastAsia"/>
          <w:color w:val="000000"/>
        </w:rPr>
        <w:t>             q  ＝----………………………………………………  (1) </w:t>
      </w:r>
    </w:p>
    <w:p>
      <w:pPr>
        <w:spacing w:line="240" w:lineRule="auto"/>
        <w:ind w:firstLineChars="0"/>
        <w:jc w:val="left"/>
      </w:pPr>
      <w:r>
        <w:rPr>
          <w:rFonts w:hint="eastAsia"/>
          <w:color w:val="000000"/>
        </w:rPr>
        <w:t>                   A </w:t>
      </w:r>
    </w:p>
    <w:p>
      <w:pPr>
        <w:spacing w:line="240" w:lineRule="auto"/>
        <w:ind w:firstLineChars="0"/>
        <w:jc w:val="left"/>
      </w:pPr>
      <w:r>
        <w:rPr>
          <w:rFonts w:hint="eastAsia"/>
          <w:color w:val="000000"/>
        </w:rPr>
        <w:t>    p </w:t>
      </w:r>
    </w:p>
    <w:p>
      <w:pPr>
        <w:spacing w:line="240" w:lineRule="auto"/>
        <w:ind w:firstLineChars="0"/>
        <w:jc w:val="left"/>
      </w:pPr>
      <w:r>
        <w:rPr>
          <w:rFonts w:hint="eastAsia"/>
          <w:color w:val="000000"/>
        </w:rPr>
        <w:t>式中：q   ----地板的均布荷载极限破坏值； </w:t>
      </w:r>
    </w:p>
    <w:p>
      <w:pPr>
        <w:spacing w:line="240" w:lineRule="auto"/>
        <w:ind w:firstLineChars="0"/>
        <w:jc w:val="left"/>
      </w:pPr>
      <w:r>
        <w:rPr>
          <w:rFonts w:hint="eastAsia"/>
          <w:color w:val="000000"/>
        </w:rPr>
        <w:t>    p </w:t>
      </w:r>
    </w:p>
    <w:p>
      <w:pPr>
        <w:spacing w:line="240" w:lineRule="auto"/>
        <w:ind w:firstLineChars="0"/>
        <w:jc w:val="left"/>
      </w:pPr>
      <w:r>
        <w:rPr>
          <w:rFonts w:hint="eastAsia"/>
          <w:color w:val="000000"/>
        </w:rPr>
        <w:t>  P   ----地板的集中荷载极限破坏值； </w:t>
      </w:r>
    </w:p>
    <w:p>
      <w:pPr>
        <w:spacing w:line="240" w:lineRule="auto"/>
        <w:ind w:firstLineChars="0"/>
        <w:jc w:val="left"/>
      </w:pPr>
      <w:r>
        <w:rPr>
          <w:rFonts w:hint="eastAsia"/>
          <w:color w:val="000000"/>
        </w:rPr>
        <w:t>  A   ----地板的面积； </w:t>
      </w:r>
    </w:p>
    <w:p>
      <w:pPr>
        <w:spacing w:line="240" w:lineRule="auto"/>
        <w:ind w:firstLineChars="0"/>
        <w:jc w:val="left"/>
      </w:pPr>
      <w:r>
        <w:rPr>
          <w:rFonts w:hint="eastAsia"/>
          <w:color w:val="000000"/>
        </w:rPr>
        <w:t>  a   ----地板强度形状系数，依地板形状不同一般取2～3。 </w:t>
      </w:r>
    </w:p>
    <w:p>
      <w:pPr>
        <w:spacing w:line="240" w:lineRule="auto"/>
        <w:ind w:firstLineChars="0"/>
        <w:jc w:val="left"/>
      </w:pPr>
      <w:r>
        <w:rPr>
          <w:rFonts w:hint="eastAsia"/>
          <w:color w:val="000000"/>
        </w:rPr>
        <w:t>将地板的均布荷载极限破坏值除以地板的安全度K，即为地板的均布荷载允许使用值。 </w:t>
      </w:r>
    </w:p>
    <w:p>
      <w:pPr>
        <w:spacing w:line="240" w:lineRule="auto"/>
        <w:ind w:firstLineChars="0"/>
        <w:jc w:val="left"/>
      </w:pPr>
      <w:r>
        <w:rPr>
          <w:rFonts w:hint="eastAsia"/>
          <w:color w:val="000000"/>
        </w:rPr>
        <w:t>                         p </w:t>
      </w:r>
    </w:p>
    <w:p>
      <w:pPr>
        <w:spacing w:line="240" w:lineRule="auto"/>
        <w:ind w:firstLineChars="0"/>
        <w:jc w:val="left"/>
      </w:pPr>
      <w:r>
        <w:rPr>
          <w:rFonts w:hint="eastAsia"/>
          <w:color w:val="000000"/>
        </w:rPr>
        <w:t>                       q </w:t>
      </w:r>
    </w:p>
    <w:p>
      <w:pPr>
        <w:spacing w:line="240" w:lineRule="auto"/>
        <w:ind w:firstLineChars="0"/>
        <w:jc w:val="left"/>
      </w:pPr>
      <w:r>
        <w:rPr>
          <w:rFonts w:hint="eastAsia"/>
          <w:color w:val="000000"/>
        </w:rPr>
        <w:t>                ［q］＝---……………………………………………  (2) </w:t>
      </w:r>
    </w:p>
    <w:p>
      <w:pPr>
        <w:spacing w:line="240" w:lineRule="auto"/>
        <w:ind w:firstLineChars="0"/>
        <w:jc w:val="left"/>
      </w:pPr>
      <w:r>
        <w:rPr>
          <w:rFonts w:hint="eastAsia"/>
          <w:color w:val="000000"/>
        </w:rPr>
        <w:t>                        K </w:t>
      </w:r>
    </w:p>
    <w:p>
      <w:pPr>
        <w:spacing w:line="240" w:lineRule="auto"/>
        <w:ind w:firstLineChars="0"/>
        <w:jc w:val="left"/>
      </w:pPr>
      <w:r>
        <w:rPr>
          <w:rFonts w:hint="eastAsia"/>
          <w:color w:val="000000"/>
        </w:rPr>
        <w:t>式中：［q］----地板均布荷载允许使用值； </w:t>
      </w:r>
    </w:p>
    <w:p>
      <w:pPr>
        <w:spacing w:line="240" w:lineRule="auto"/>
        <w:ind w:firstLineChars="0"/>
        <w:jc w:val="left"/>
      </w:pPr>
      <w:r>
        <w:rPr>
          <w:rFonts w:hint="eastAsia"/>
          <w:color w:val="000000"/>
        </w:rPr>
        <w:t>    K  ----地板安全度，根据基板不同取值如下： </w:t>
      </w:r>
    </w:p>
    <w:p>
      <w:pPr>
        <w:spacing w:line="240" w:lineRule="auto"/>
        <w:ind w:firstLineChars="0"/>
        <w:jc w:val="left"/>
      </w:pPr>
      <w:r>
        <w:rPr>
          <w:rFonts w:hint="eastAsia"/>
          <w:color w:val="000000"/>
        </w:rPr>
        <w:t>           金属基板 (塑性材料) 1.5； </w:t>
      </w:r>
    </w:p>
    <w:p>
      <w:pPr>
        <w:spacing w:line="240" w:lineRule="auto"/>
        <w:ind w:firstLineChars="0"/>
        <w:jc w:val="left"/>
      </w:pPr>
      <w:r>
        <w:rPr>
          <w:rFonts w:hint="eastAsia"/>
          <w:color w:val="000000"/>
        </w:rPr>
        <w:t>           金属基板 (脆性材料) 2.0； </w:t>
      </w:r>
    </w:p>
    <w:p>
      <w:pPr>
        <w:spacing w:line="240" w:lineRule="auto"/>
        <w:ind w:firstLineChars="0"/>
        <w:jc w:val="left"/>
      </w:pPr>
      <w:r>
        <w:rPr>
          <w:rFonts w:hint="eastAsia"/>
          <w:color w:val="000000"/>
        </w:rPr>
        <w:t>           塑料基板 (含塑料胶合水) 2.0； </w:t>
      </w:r>
    </w:p>
    <w:p>
      <w:pPr>
        <w:spacing w:line="240" w:lineRule="auto"/>
        <w:ind w:firstLineChars="0"/>
        <w:jc w:val="left"/>
      </w:pPr>
      <w:r>
        <w:rPr>
          <w:rFonts w:hint="eastAsia"/>
          <w:color w:val="000000"/>
        </w:rPr>
        <w:t>           木质基板8。 </w:t>
      </w:r>
    </w:p>
    <w:p>
      <w:pPr>
        <w:spacing w:line="240" w:lineRule="auto"/>
        <w:ind w:firstLineChars="0"/>
        <w:jc w:val="left"/>
      </w:pPr>
      <w:r>
        <w:rPr>
          <w:rFonts w:hint="eastAsia"/>
          <w:color w:val="000000"/>
        </w:rPr>
        <w:t>5.4.4.4  按下式计算出地板在均布荷载作用下，地板中央的挠度为1mm时的均布荷载值。 </w:t>
      </w:r>
    </w:p>
    <w:p>
      <w:pPr>
        <w:spacing w:line="240" w:lineRule="auto"/>
        <w:ind w:firstLineChars="0"/>
        <w:jc w:val="left"/>
      </w:pPr>
      <w:r>
        <w:rPr>
          <w:rFonts w:hint="eastAsia"/>
          <w:color w:val="000000"/>
        </w:rPr>
        <w:t>                         βp </w:t>
      </w:r>
    </w:p>
    <w:p>
      <w:pPr>
        <w:spacing w:line="240" w:lineRule="auto"/>
        <w:ind w:firstLineChars="0"/>
        <w:jc w:val="left"/>
      </w:pPr>
      <w:r>
        <w:rPr>
          <w:rFonts w:hint="eastAsia"/>
          <w:color w:val="000000"/>
        </w:rPr>
        <w:t>                     qs＝----…………………………………………  (3) </w:t>
      </w:r>
    </w:p>
    <w:p>
      <w:pPr>
        <w:spacing w:line="240" w:lineRule="auto"/>
        <w:ind w:firstLineChars="0"/>
        <w:jc w:val="left"/>
      </w:pPr>
      <w:r>
        <w:rPr>
          <w:rFonts w:hint="eastAsia"/>
          <w:color w:val="000000"/>
        </w:rPr>
        <w:t>                          AS </w:t>
      </w:r>
    </w:p>
    <w:p>
      <w:pPr>
        <w:spacing w:line="240" w:lineRule="auto"/>
        <w:ind w:firstLineChars="0"/>
        <w:jc w:val="left"/>
      </w:pPr>
      <w:r>
        <w:rPr>
          <w:rFonts w:hint="eastAsia"/>
          <w:color w:val="000000"/>
        </w:rPr>
        <w:t>式中：qs----地板中央的挠度为1mm时的均布荷载值； </w:t>
      </w:r>
    </w:p>
    <w:p>
      <w:pPr>
        <w:spacing w:line="240" w:lineRule="auto"/>
        <w:ind w:firstLineChars="0"/>
        <w:jc w:val="left"/>
      </w:pPr>
      <w:r>
        <w:rPr>
          <w:rFonts w:hint="eastAsia"/>
          <w:color w:val="000000"/>
        </w:rPr>
        <w:t>  P、S----作用在地板中央的阶段集中荷载值和挠度值，由P-S曲线上量得； </w:t>
      </w:r>
    </w:p>
    <w:p>
      <w:pPr>
        <w:spacing w:line="240" w:lineRule="auto"/>
        <w:ind w:firstLineChars="0"/>
        <w:jc w:val="left"/>
      </w:pPr>
      <w:r>
        <w:rPr>
          <w:rFonts w:hint="eastAsia"/>
          <w:color w:val="000000"/>
        </w:rPr>
        <w:t>  β----地板刚度形状系数，依地板形状不同一般取1.6～2.8。 </w:t>
      </w:r>
    </w:p>
    <w:p>
      <w:pPr>
        <w:spacing w:line="240" w:lineRule="auto"/>
        <w:ind w:firstLineChars="0"/>
        <w:jc w:val="left"/>
      </w:pPr>
      <w:r>
        <w:rPr>
          <w:rFonts w:hint="eastAsia"/>
          <w:color w:val="000000"/>
        </w:rPr>
        <w:t>5.4.4.5  比较［q］与qs值，取较小者作为该板的允许使用荷载值。 </w:t>
      </w:r>
    </w:p>
    <w:p>
      <w:pPr>
        <w:spacing w:line="240" w:lineRule="auto"/>
        <w:ind w:firstLineChars="0"/>
        <w:jc w:val="left"/>
      </w:pPr>
      <w:r>
        <w:rPr>
          <w:rFonts w:hint="eastAsia"/>
          <w:color w:val="000000"/>
        </w:rPr>
        <w:t>5.5  支撑承载能力检验 </w:t>
      </w:r>
    </w:p>
    <w:p>
      <w:pPr>
        <w:spacing w:line="240" w:lineRule="auto"/>
        <w:ind w:firstLineChars="0"/>
        <w:jc w:val="left"/>
      </w:pPr>
      <w:r>
        <w:rPr>
          <w:rFonts w:hint="eastAsia"/>
          <w:color w:val="000000"/>
        </w:rPr>
        <w:t>5.5.1  检验设备 </w:t>
      </w:r>
    </w:p>
    <w:p>
      <w:pPr>
        <w:spacing w:line="240" w:lineRule="auto"/>
        <w:ind w:firstLineChars="0"/>
        <w:jc w:val="left"/>
      </w:pPr>
      <w:r>
        <w:rPr>
          <w:rFonts w:hint="eastAsia"/>
          <w:color w:val="000000"/>
        </w:rPr>
        <w:t>5.5.1.1  可在各种压力机上加载，也可在四块组装好的地板上，通过承力架用小型压力传感器控制小型千斤顶对中间可调支撑加载。 </w:t>
      </w:r>
    </w:p>
    <w:p>
      <w:pPr>
        <w:spacing w:line="240" w:lineRule="auto"/>
        <w:ind w:firstLineChars="0"/>
        <w:jc w:val="left"/>
      </w:pPr>
      <w:r>
        <w:rPr>
          <w:rFonts w:hint="eastAsia"/>
          <w:color w:val="000000"/>
        </w:rPr>
        <w:t>5.5.1.2  用两只安装在支撑中间的位移传感器测量两个方向的水平变位。也可用x--y函数记录仪，将压力传感器、位移传感器、动态应变仪与x--y函数 </w:t>
      </w:r>
    </w:p>
    <w:p>
      <w:pPr>
        <w:spacing w:line="240" w:lineRule="auto"/>
        <w:ind w:firstLineChars="0"/>
        <w:jc w:val="left"/>
      </w:pPr>
      <w:r>
        <w:rPr>
          <w:rFonts w:hint="eastAsia"/>
          <w:color w:val="000000"/>
        </w:rPr>
        <w:t>记录仪配套。由x--y函数记录仪作自动连续记录，画出荷载位移曲线，直至支撑失稳破坏为止。 </w:t>
      </w:r>
    </w:p>
    <w:p>
      <w:pPr>
        <w:spacing w:line="240" w:lineRule="auto"/>
        <w:ind w:firstLineChars="0"/>
        <w:jc w:val="left"/>
      </w:pPr>
      <w:r>
        <w:rPr>
          <w:rFonts w:hint="eastAsia"/>
          <w:color w:val="000000"/>
        </w:rPr>
        <w:t>5.5.1.3  加载设备误差±5kg，位移测试设备误差±0.01mm。 </w:t>
      </w:r>
    </w:p>
    <w:p>
      <w:pPr>
        <w:spacing w:line="240" w:lineRule="auto"/>
        <w:ind w:firstLineChars="0"/>
        <w:jc w:val="left"/>
      </w:pPr>
      <w:r>
        <w:rPr>
          <w:rFonts w:hint="eastAsia"/>
          <w:color w:val="000000"/>
        </w:rPr>
        <w:t>5.5.2  检验方法 </w:t>
      </w:r>
    </w:p>
    <w:p>
      <w:pPr>
        <w:spacing w:line="240" w:lineRule="auto"/>
        <w:ind w:firstLineChars="0"/>
        <w:jc w:val="left"/>
      </w:pPr>
      <w:r>
        <w:rPr>
          <w:rFonts w:hint="eastAsia"/>
          <w:color w:val="000000"/>
        </w:rPr>
        <w:t>5.5.2.1  将可调支撑按实际使用情况放置在测试设备上。 </w:t>
      </w:r>
    </w:p>
    <w:p>
      <w:pPr>
        <w:spacing w:line="240" w:lineRule="auto"/>
        <w:ind w:firstLineChars="0"/>
        <w:jc w:val="left"/>
      </w:pPr>
      <w:r>
        <w:rPr>
          <w:rFonts w:hint="eastAsia"/>
          <w:color w:val="000000"/>
        </w:rPr>
        <w:t>5.5.2.2  调整支撑高度，使地板板面水平。 </w:t>
      </w:r>
    </w:p>
    <w:p>
      <w:pPr>
        <w:spacing w:line="240" w:lineRule="auto"/>
        <w:ind w:firstLineChars="0"/>
        <w:jc w:val="left"/>
      </w:pPr>
      <w:r>
        <w:rPr>
          <w:rFonts w:hint="eastAsia"/>
          <w:color w:val="000000"/>
        </w:rPr>
        <w:t>5.5.2.3  将压力传感器与橡皮垫板安放在中间可调支撑上，压力传感器和橡皮垫板的直径为50mm。 </w:t>
      </w:r>
    </w:p>
    <w:p>
      <w:pPr>
        <w:spacing w:line="240" w:lineRule="auto"/>
        <w:ind w:firstLineChars="0"/>
        <w:jc w:val="left"/>
      </w:pPr>
      <w:r>
        <w:rPr>
          <w:rFonts w:hint="eastAsia"/>
          <w:color w:val="000000"/>
        </w:rPr>
        <w:t>5.5.2.4  安装千斤顶，确保加力点垂直对中。将位移传感器安装于支撑中点时要确保仪器位移杆垂直于支撑。 </w:t>
      </w:r>
    </w:p>
    <w:p>
      <w:pPr>
        <w:spacing w:line="240" w:lineRule="auto"/>
        <w:ind w:firstLineChars="0"/>
        <w:jc w:val="left"/>
      </w:pPr>
      <w:r>
        <w:rPr>
          <w:rFonts w:hint="eastAsia"/>
          <w:color w:val="000000"/>
        </w:rPr>
        <w:t>5.5.3  加载 </w:t>
      </w:r>
    </w:p>
    <w:p>
      <w:pPr>
        <w:spacing w:line="240" w:lineRule="auto"/>
        <w:ind w:firstLineChars="0"/>
        <w:jc w:val="left"/>
      </w:pPr>
      <w:r>
        <w:rPr>
          <w:rFonts w:hint="eastAsia"/>
          <w:color w:val="000000"/>
        </w:rPr>
        <w:t>当采用x--y函数记录仪自动画荷载位移曲线时，应采用慢速均匀加载，直到支撑失稳破坏。加载速度控制在100kg/min左右。 </w:t>
      </w:r>
    </w:p>
    <w:p>
      <w:pPr>
        <w:spacing w:line="240" w:lineRule="auto"/>
        <w:ind w:firstLineChars="0"/>
        <w:jc w:val="left"/>
      </w:pPr>
      <w:r>
        <w:rPr>
          <w:rFonts w:hint="eastAsia"/>
          <w:color w:val="000000"/>
        </w:rPr>
        <w:t>当无自动记录仪时，应采用慢速逐级加载。第一次可加本标准规定荷载的五分之一，而后每次增加本标准规定荷载的十分之一为一级，接近本标准规定 </w:t>
      </w:r>
    </w:p>
    <w:p>
      <w:pPr>
        <w:spacing w:line="240" w:lineRule="auto"/>
        <w:ind w:firstLineChars="0"/>
        <w:jc w:val="left"/>
      </w:pPr>
      <w:r>
        <w:rPr>
          <w:rFonts w:hint="eastAsia"/>
          <w:color w:val="000000"/>
        </w:rPr>
        <w:t>荷载时，可改为每次增加本标准规定荷载的二十分之一为一级，分级荷载间隔15min，并在加下一级荷载前记录一次位移值。加载至本标准规定荷载后继续加载，当 </w:t>
      </w:r>
    </w:p>
    <w:p>
      <w:pPr>
        <w:spacing w:line="240" w:lineRule="auto"/>
        <w:ind w:firstLineChars="0"/>
        <w:jc w:val="left"/>
      </w:pPr>
      <w:r>
        <w:rPr>
          <w:rFonts w:hint="eastAsia"/>
          <w:color w:val="000000"/>
        </w:rPr>
        <w:t>荷载位移P-S曲线发生拐折，即为支撑失稳破坏，破坏前一级的荷载即为支撑的极限破坏荷载。 </w:t>
      </w:r>
    </w:p>
    <w:p>
      <w:pPr>
        <w:spacing w:line="240" w:lineRule="auto"/>
        <w:ind w:firstLineChars="0"/>
        <w:jc w:val="left"/>
      </w:pPr>
      <w:r>
        <w:rPr>
          <w:rFonts w:hint="eastAsia"/>
          <w:color w:val="000000"/>
        </w:rPr>
        <w:t>5.5.4  检验报告 </w:t>
      </w:r>
    </w:p>
    <w:p>
      <w:pPr>
        <w:spacing w:line="240" w:lineRule="auto"/>
        <w:ind w:firstLineChars="0"/>
        <w:jc w:val="left"/>
      </w:pPr>
      <w:r>
        <w:rPr>
          <w:rFonts w:hint="eastAsia"/>
          <w:color w:val="000000"/>
        </w:rPr>
        <w:t>作出每根支撑荷载位移P-S曲线或S-LgP曲线。根据5.5.3的加载方法，决定支撑极限破坏荷载。将支撑极限破坏荷载除以安全度1.5即为支撑的允许使用荷 </w:t>
      </w:r>
    </w:p>
    <w:p>
      <w:pPr>
        <w:spacing w:line="240" w:lineRule="auto"/>
        <w:ind w:firstLineChars="0"/>
        <w:jc w:val="left"/>
      </w:pPr>
      <w:r>
        <w:rPr>
          <w:rFonts w:hint="eastAsia"/>
          <w:color w:val="000000"/>
        </w:rPr>
        <w:t>载值。 </w:t>
      </w:r>
    </w:p>
    <w:p>
      <w:pPr>
        <w:spacing w:line="240" w:lineRule="auto"/>
        <w:ind w:firstLineChars="0"/>
        <w:jc w:val="left"/>
      </w:pPr>
      <w:r>
        <w:rPr>
          <w:rFonts w:hint="eastAsia"/>
          <w:color w:val="000000"/>
        </w:rPr>
        <w:t>6.  检验规则 </w:t>
      </w:r>
    </w:p>
    <w:p>
      <w:pPr>
        <w:spacing w:line="240" w:lineRule="auto"/>
        <w:ind w:firstLineChars="0"/>
        <w:jc w:val="left"/>
      </w:pPr>
      <w:r>
        <w:rPr>
          <w:rFonts w:hint="eastAsia"/>
          <w:color w:val="000000"/>
        </w:rPr>
        <w:t>6.1  检验由制造厂质量检验部门或上级主管部门指定的单位进行，订货方可派代表参加，制造厂或被指定的单位应提供试验所需的一切条件。 </w:t>
      </w:r>
    </w:p>
    <w:p>
      <w:pPr>
        <w:spacing w:line="240" w:lineRule="auto"/>
        <w:ind w:firstLineChars="0"/>
        <w:jc w:val="left"/>
      </w:pPr>
      <w:r>
        <w:rPr>
          <w:rFonts w:hint="eastAsia"/>
          <w:color w:val="000000"/>
        </w:rPr>
        <w:t>6.2  检验按GB2828-81《逐批检查计数抽样程序及抽样表(适用于连续批的检查)》中一次抽样方案的规定进行，检查水平取S-3。样本单位为一块地板或 </w:t>
      </w:r>
    </w:p>
    <w:p>
      <w:pPr>
        <w:spacing w:line="240" w:lineRule="auto"/>
        <w:ind w:firstLineChars="0"/>
        <w:jc w:val="left"/>
      </w:pPr>
      <w:r>
        <w:rPr>
          <w:rFonts w:hint="eastAsia"/>
          <w:color w:val="000000"/>
        </w:rPr>
        <w:t>一根支撑。 </w:t>
      </w:r>
    </w:p>
    <w:p>
      <w:pPr>
        <w:spacing w:line="240" w:lineRule="auto"/>
        <w:ind w:firstLineChars="0"/>
        <w:jc w:val="left"/>
      </w:pPr>
      <w:r>
        <w:rPr>
          <w:rFonts w:hint="eastAsia"/>
          <w:color w:val="000000"/>
        </w:rPr>
        <w:t>6.3  检验的顺序，项目及AQL值见表7。 </w:t>
      </w:r>
    </w:p>
    <w:p>
      <w:pPr>
        <w:spacing w:line="240" w:lineRule="auto"/>
        <w:ind w:firstLineChars="0"/>
        <w:jc w:val="left"/>
      </w:pPr>
      <w:r>
        <w:rPr>
          <w:rFonts w:hint="eastAsia"/>
          <w:color w:val="000000"/>
        </w:rPr>
        <w:t>6.4  检验不合格的批，可以再提交检验一次，重新提交时的检查水平取S-4，若不合格，则作为不合格批处理。 </w:t>
      </w:r>
    </w:p>
    <w:p>
      <w:pPr>
        <w:spacing w:beforeLines="50" w:afterLines="50"/>
        <w:ind w:firstLineChars="0"/>
        <w:jc w:val="left"/>
      </w:pPr>
      <w:r>
        <w:rPr>
          <w:rFonts w:hint="eastAsia" w:ascii="宋体" w:hAnsi="宋体" w:eastAsia="宋体"/>
          <w:color w:val="000000"/>
          <w:spacing w:val="24"/>
        </w:rPr>
        <w:t>6.5  经过检验的样本，不得作为合格品交给订货方。根据订货方的要求，生产厂应提供检验报告。</w:t>
      </w:r>
    </w:p>
    <w:p>
      <w:pPr>
        <w:spacing w:beforeLines="50" w:afterLines="50"/>
        <w:ind w:firstLineChars="0"/>
        <w:jc w:val="center"/>
      </w:pPr>
      <w:r>
        <w:rPr>
          <w:rFonts w:hint="eastAsia" w:ascii="宋体" w:hAnsi="宋体" w:eastAsia="宋体"/>
          <w:color w:val="000000"/>
          <w:spacing w:val="24"/>
        </w:rPr>
        <w:t>表7</w:t>
      </w:r>
    </w:p>
    <w:tbl>
      <w:tblPr>
        <w:tblW w:w="3500" w:type="pct"/>
        <w:jc w:val="center"/>
      </w:tblPr>
      <w:tblGrid>
        <w:gridCol w:w="1516"/>
        <w:gridCol w:w="1389"/>
        <w:gridCol w:w="442"/>
        <w:gridCol w:w="1011"/>
        <w:gridCol w:w="442"/>
        <w:gridCol w:w="1074"/>
        <w:gridCol w:w="442"/>
      </w:tblGrid>
      <w:tr>
        <w:trPr/>
        <w:tc>
          <w:tcPr>
            <w:cnfStyle w:val="001000000000"/>
            <w:tcW w:w="1200" w:type="pct"/>
            <w:vMerge w:val="restar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序号</w:t>
            </w:r>
          </w:p>
        </w:tc>
        <w:tc>
          <w:tcPr>
            <w:cnfStyle w:val="001000000000"/>
            <w:tcW w:w="1100" w:type="pct"/>
            <w:vMerge w:val="restar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试验项目</w:t>
            </w:r>
          </w:p>
        </w:tc>
        <w:tc>
          <w:tcPr>
            <w:gridSpan w:val="2"/>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条款</w:t>
            </w:r>
          </w:p>
        </w:tc>
        <w:tc>
          <w:tcPr>
            <w:cnfStyle w:val="001000000000"/>
            <w:tcW w:w="350" w:type="pct"/>
            <w:vMerge w:val="restar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AQL(%)</w:t>
            </w:r>
          </w:p>
        </w:tc>
      </w:tr>
      <w:tr>
        <w:trPr/>
        <w:tc>
          <w:tcPr>
            <w:cnfStyle w:val="001000000000"/>
            <w:tcW w:w="1200" w:type="pct"/>
            <w:vMerge/>
            <w:tcBorders>
              <w:top w:val="single"/>
              <w:left w:val="single"/>
              <w:bottom w:val="single"/>
              <w:right w:val="single"/>
            </w:tcBorders>
            <w:shd w:color="auto" w:fill="AUTO"/>
            <w:vAlign w:val="center"/>
          </w:tcPr>
          <w:p/>
        </w:tc>
        <w:tc>
          <w:tcPr>
            <w:cnfStyle w:val="001000000000"/>
            <w:tcW w:w="1100" w:type="pct"/>
            <w:vMerge/>
            <w:tcBorders>
              <w:top w:val="single"/>
              <w:left w:val="single"/>
              <w:bottom w:val="single"/>
              <w:right w:val="single"/>
            </w:tcBorders>
            <w:shd w:color="auto" w:fill="AUTO"/>
            <w:vAlign w:val="center"/>
          </w:tcPr>
          <w:p/>
        </w:tc>
        <w:tc>
          <w:tcPr>
            <w:cnfStyle w:val="001000000000"/>
            <w:tcW w:w="11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技术要求</w:t>
            </w:r>
          </w:p>
        </w:tc>
        <w:tc>
          <w:tcPr>
            <w:cnfStyle w:val="001000000000"/>
            <w:tcW w:w="350" w:type="pct"/>
            <w:vMerge/>
            <w:tcBorders>
              <w:top w:val="single"/>
              <w:left w:val="single"/>
              <w:bottom w:val="single"/>
              <w:right w:val="single"/>
            </w:tcBorders>
            <w:shd w:color="auto" w:fill="AUTO"/>
            <w:vAlign w:val="center"/>
          </w:tcPr>
          <w:p/>
        </w:tc>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试验方法</w:t>
            </w:r>
          </w:p>
        </w:tc>
      </w:tr>
      <w:tr>
        <w:trPr/>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1</w:t>
            </w:r>
          </w:p>
        </w:tc>
        <w:tc>
          <w:tcPr>
            <w:cnfStyle w:val="001000000000"/>
            <w:tcW w:w="11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尺寸、外观</w:t>
            </w:r>
          </w:p>
        </w:tc>
        <w:tc>
          <w:tcPr>
            <w:cnfStyle w:val="001000000000"/>
            <w:tcW w:w="11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3.1、3.2、4.2.3</w:t>
            </w:r>
          </w:p>
        </w:tc>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5.2</w:t>
            </w:r>
          </w:p>
        </w:tc>
        <w:tc>
          <w:tcPr>
            <w:cnfStyle w:val="001000000000"/>
            <w:tcW w:w="3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 </w:t>
            </w:r>
          </w:p>
        </w:tc>
      </w:tr>
      <w:tr>
        <w:trPr/>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2</w:t>
            </w:r>
          </w:p>
        </w:tc>
        <w:tc>
          <w:tcPr>
            <w:cnfStyle w:val="001000000000"/>
            <w:tcW w:w="11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电性能</w:t>
            </w:r>
          </w:p>
        </w:tc>
        <w:tc>
          <w:tcPr>
            <w:cnfStyle w:val="001000000000"/>
            <w:tcW w:w="11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4.1</w:t>
            </w:r>
          </w:p>
        </w:tc>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5.3</w:t>
            </w:r>
          </w:p>
        </w:tc>
        <w:tc>
          <w:tcPr>
            <w:cnfStyle w:val="001000000000"/>
            <w:tcW w:w="3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 </w:t>
            </w:r>
          </w:p>
        </w:tc>
      </w:tr>
      <w:tr>
        <w:trPr/>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3</w:t>
            </w:r>
          </w:p>
        </w:tc>
        <w:tc>
          <w:tcPr>
            <w:cnfStyle w:val="001000000000"/>
            <w:tcW w:w="11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机械性能</w:t>
            </w:r>
          </w:p>
        </w:tc>
        <w:tc>
          <w:tcPr>
            <w:cnfStyle w:val="001000000000"/>
            <w:tcW w:w="11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4.2.1</w:t>
            </w:r>
          </w:p>
        </w:tc>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5.4</w:t>
            </w:r>
          </w:p>
        </w:tc>
        <w:tc>
          <w:tcPr>
            <w:cnfStyle w:val="001000000000"/>
            <w:tcW w:w="3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4</w:t>
            </w:r>
          </w:p>
        </w:tc>
      </w:tr>
      <w:tr>
        <w:trPr/>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4</w:t>
            </w:r>
          </w:p>
        </w:tc>
        <w:tc>
          <w:tcPr>
            <w:cnfStyle w:val="001000000000"/>
            <w:tcW w:w="11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支撑承载能力</w:t>
            </w:r>
          </w:p>
        </w:tc>
        <w:tc>
          <w:tcPr>
            <w:cnfStyle w:val="001000000000"/>
            <w:tcW w:w="11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4.2.2</w:t>
            </w:r>
          </w:p>
        </w:tc>
        <w:tc>
          <w:tcPr>
            <w:cnfStyle w:val="001000000000"/>
            <w:tcW w:w="120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5.5</w:t>
            </w:r>
          </w:p>
        </w:tc>
        <w:tc>
          <w:tcPr>
            <w:cnfStyle w:val="001000000000"/>
            <w:tcW w:w="350" w:type="pct"/>
            <w:tcBorders>
              <w:top w:val="single"/>
              <w:left w:val="single"/>
              <w:bottom w:val="single"/>
              <w:right w:val="single"/>
            </w:tcBorders>
            <w:shd w:color="auto" w:fill="AUTO"/>
            <w:vAlign w:val="center"/>
          </w:tcPr>
          <w:p>
            <w:pPr>
              <w:spacing w:beforeLines="50" w:afterLines="50"/>
              <w:ind w:firstLineChars="0"/>
              <w:jc w:val="center"/>
            </w:pPr>
            <w:r>
              <w:rPr>
                <w:rFonts w:hint="eastAsia" w:ascii="宋体" w:hAnsi="宋体" w:eastAsia="宋体"/>
                <w:color w:val="000000"/>
                <w:spacing w:val="24"/>
              </w:rPr>
              <w:t> </w:t>
            </w:r>
          </w:p>
        </w:tc>
      </w:tr>
    </w:tbl>
    <w:p>
      <w:pPr>
        <w:spacing w:line="240" w:lineRule="auto"/>
        <w:ind w:firstLineChars="0"/>
        <w:jc w:val="left"/>
      </w:pPr>
      <w:r>
        <w:rPr>
          <w:rFonts w:hint="eastAsia"/>
          <w:color w:val="000000"/>
        </w:rPr>
        <w:t>7  标志、包装、运输和贮存 </w:t>
      </w:r>
    </w:p>
    <w:p>
      <w:pPr>
        <w:spacing w:line="240" w:lineRule="auto"/>
        <w:ind w:firstLineChars="0"/>
        <w:jc w:val="left"/>
      </w:pPr>
      <w:r>
        <w:rPr>
          <w:rFonts w:hint="eastAsia"/>
          <w:color w:val="000000"/>
        </w:rPr>
        <w:t>7.1  包装箱应符合防潮、防尘、防震的要求。 </w:t>
      </w:r>
    </w:p>
    <w:p>
      <w:pPr>
        <w:spacing w:line="240" w:lineRule="auto"/>
        <w:ind w:firstLineChars="0"/>
        <w:jc w:val="left"/>
      </w:pPr>
      <w:r>
        <w:rPr>
          <w:rFonts w:hint="eastAsia"/>
          <w:color w:val="000000"/>
        </w:rPr>
        <w:t>7.2  包装箱内应附有检验合格证，检验合格证上应注明： </w:t>
      </w:r>
    </w:p>
    <w:p>
      <w:pPr>
        <w:spacing w:line="240" w:lineRule="auto"/>
        <w:ind w:firstLineChars="0"/>
        <w:jc w:val="left"/>
      </w:pPr>
      <w:r>
        <w:rPr>
          <w:rFonts w:hint="eastAsia"/>
          <w:color w:val="000000"/>
        </w:rPr>
        <w:t>  a. 生产厂名称； </w:t>
      </w:r>
    </w:p>
    <w:p>
      <w:pPr>
        <w:spacing w:line="240" w:lineRule="auto"/>
        <w:ind w:firstLineChars="0"/>
        <w:jc w:val="left"/>
      </w:pPr>
      <w:r>
        <w:rPr>
          <w:rFonts w:hint="eastAsia"/>
          <w:color w:val="000000"/>
        </w:rPr>
        <w:t>  b. 产品名称、型号或商标； </w:t>
      </w:r>
    </w:p>
    <w:p>
      <w:pPr>
        <w:spacing w:line="240" w:lineRule="auto"/>
        <w:ind w:firstLineChars="0"/>
        <w:jc w:val="left"/>
      </w:pPr>
      <w:r>
        <w:rPr>
          <w:rFonts w:hint="eastAsia"/>
          <w:color w:val="000000"/>
        </w:rPr>
        <w:t>  c. 产品规格尺寸； </w:t>
      </w:r>
    </w:p>
    <w:p>
      <w:pPr>
        <w:spacing w:line="240" w:lineRule="auto"/>
        <w:ind w:firstLineChars="0"/>
        <w:jc w:val="left"/>
      </w:pPr>
      <w:r>
        <w:rPr>
          <w:rFonts w:hint="eastAsia"/>
          <w:color w:val="000000"/>
        </w:rPr>
        <w:t>  d. 单件产品重量； </w:t>
      </w:r>
    </w:p>
    <w:p>
      <w:pPr>
        <w:spacing w:line="240" w:lineRule="auto"/>
        <w:ind w:firstLineChars="0"/>
        <w:jc w:val="left"/>
      </w:pPr>
      <w:r>
        <w:rPr>
          <w:rFonts w:hint="eastAsia"/>
          <w:color w:val="000000"/>
        </w:rPr>
        <w:t>  e. 检验人员代号。 </w:t>
      </w:r>
    </w:p>
    <w:p>
      <w:pPr>
        <w:spacing w:line="240" w:lineRule="auto"/>
        <w:ind w:firstLineChars="0"/>
        <w:jc w:val="left"/>
      </w:pPr>
      <w:r>
        <w:rPr>
          <w:rFonts w:hint="eastAsia"/>
          <w:color w:val="000000"/>
        </w:rPr>
        <w:t>7.3  包装箱上应有“小心轻放”、“防湿”等标志。标志应符合GB191-73《包装储运指示标志》的规定。 </w:t>
      </w:r>
    </w:p>
    <w:p>
      <w:pPr>
        <w:spacing w:line="240" w:lineRule="auto"/>
        <w:ind w:firstLineChars="0"/>
        <w:jc w:val="left"/>
      </w:pPr>
      <w:r>
        <w:rPr>
          <w:rFonts w:hint="eastAsia"/>
          <w:color w:val="000000"/>
        </w:rPr>
        <w:t>包装箱应有生产厂名称、产品型号、规格、数量、出厂日期。 </w:t>
      </w:r>
    </w:p>
    <w:p>
      <w:pPr>
        <w:spacing w:line="240" w:lineRule="auto"/>
        <w:ind w:firstLineChars="0"/>
        <w:jc w:val="left"/>
      </w:pPr>
      <w:r>
        <w:rPr>
          <w:rFonts w:hint="eastAsia"/>
          <w:color w:val="000000"/>
        </w:rPr>
        <w:t>7.4  每十块或四块地板装成一箱，每块地板单独装入塑料袋或每两块地板板面之间垫纸并装入箱内。 </w:t>
      </w:r>
    </w:p>
    <w:p>
      <w:pPr>
        <w:spacing w:line="240" w:lineRule="auto"/>
        <w:ind w:firstLineChars="0"/>
        <w:jc w:val="left"/>
      </w:pPr>
      <w:r>
        <w:rPr>
          <w:rFonts w:hint="eastAsia"/>
          <w:color w:val="000000"/>
        </w:rPr>
        <w:t>7.5  支撑每50套装成一箱，横梁每100件装成一箱(四周支承式)缓冲垫单独包装每50件一捆装入相应数量的横梁箱内。 </w:t>
      </w:r>
    </w:p>
    <w:p>
      <w:pPr>
        <w:spacing w:line="240" w:lineRule="auto"/>
        <w:ind w:firstLineChars="0"/>
        <w:jc w:val="left"/>
      </w:pPr>
      <w:r>
        <w:rPr>
          <w:rFonts w:hint="eastAsia"/>
          <w:color w:val="000000"/>
        </w:rPr>
        <w:t>7.6  包装好的产品，均应能以任何运输形式运往任意远的地点。长途运输时，产品不能放在敞篷车厢、船仓中，产品中间转运时不能放在露天仓库中， </w:t>
      </w:r>
    </w:p>
    <w:p>
      <w:pPr>
        <w:spacing w:line="240" w:lineRule="auto"/>
        <w:ind w:firstLineChars="0"/>
        <w:jc w:val="left"/>
      </w:pPr>
      <w:r>
        <w:rPr>
          <w:rFonts w:hint="eastAsia"/>
          <w:color w:val="000000"/>
        </w:rPr>
        <w:t>运输过程中应防止雨、雪直接淋袭与机械损伤。 </w:t>
      </w:r>
    </w:p>
    <w:p>
      <w:pPr>
        <w:spacing w:beforeLines="50" w:afterLines="50"/>
        <w:ind w:firstLineChars="0"/>
        <w:jc w:val="left"/>
      </w:pPr>
      <w:r>
        <w:rPr>
          <w:rFonts w:hint="eastAsia" w:ascii="宋体" w:hAnsi="宋体" w:eastAsia="宋体"/>
          <w:color w:val="000000"/>
          <w:spacing w:val="24"/>
        </w:rPr>
        <w:t>7.7  存放产品的仓库湿度不大于80%，室内应无酸、碱等腐蚀性气体。</w:t>
      </w:r>
    </w:p>
    <w:p>
      <w:pPr/>
    </w:p>
    <w:p>
      <w:pPr/>
    </w:p>
    <w:p>
      <w:pPr/>
    </w:p>
    <w:p>
      <w:pPr/>
    </w:p>
    <w:p>
      <w:pPr/>
    </w:p>
    <w:p>
      <w:pPr/>
    </w:p>
    <w:sectPr>
      <w:type w:val="nextPage"/>
      <w:pgSz w:w="11910" w:h="16845" w:orient="portrait"/>
      <w:pgMar w:top="1305" w:right="1590" w:bottom="1305" w:left="1590" w:header="855" w:footer="990" w:gutter="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